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EB" w:rsidRDefault="00F01AEB">
      <w:pPr>
        <w:pStyle w:val="Title"/>
      </w:pPr>
      <w:bookmarkStart w:id="0" w:name="_GoBack"/>
      <w:bookmarkEnd w:id="0"/>
      <w:r>
        <w:t>Financial Statement Analysis &amp; Valuation Spreadsheets</w:t>
      </w:r>
    </w:p>
    <w:p w:rsidR="00F01AEB" w:rsidRDefault="000D0994">
      <w:pPr>
        <w:pStyle w:val="Subtitle"/>
      </w:pPr>
      <w:r>
        <w:t xml:space="preserve">© </w:t>
      </w:r>
      <w:r w:rsidR="00F01AEB">
        <w:t>Dan Gode and James Ohlson</w:t>
      </w:r>
    </w:p>
    <w:p w:rsidR="00452C54" w:rsidRDefault="00452C54" w:rsidP="00452C54">
      <w:pPr>
        <w:pStyle w:val="Heading1"/>
      </w:pPr>
      <w:r>
        <w:t>Introduction and Summary</w:t>
      </w:r>
    </w:p>
    <w:p w:rsidR="00C949A6" w:rsidRDefault="00C949A6" w:rsidP="00E940D3">
      <w:pPr>
        <w:pStyle w:val="BodyText"/>
      </w:pPr>
      <w:r w:rsidRPr="00C949A6">
        <w:t xml:space="preserve">This </w:t>
      </w:r>
      <w:r w:rsidR="00F4121E">
        <w:t xml:space="preserve">document describes the </w:t>
      </w:r>
      <w:r w:rsidRPr="00C949A6">
        <w:t xml:space="preserve">spreadsheets and related textual narratives </w:t>
      </w:r>
      <w:r w:rsidR="00B06783">
        <w:t xml:space="preserve">for FSA and valuation that are </w:t>
      </w:r>
      <w:r w:rsidR="00F4121E">
        <w:t xml:space="preserve">available </w:t>
      </w:r>
      <w:r w:rsidR="00664495">
        <w:t xml:space="preserve">for </w:t>
      </w:r>
      <w:r w:rsidR="00F4121E">
        <w:t xml:space="preserve">free at </w:t>
      </w:r>
      <w:hyperlink r:id="rId8" w:history="1">
        <w:r w:rsidR="00F4121E" w:rsidRPr="00D4774A">
          <w:rPr>
            <w:rStyle w:val="Hyperlink"/>
          </w:rPr>
          <w:t>http://www.godeohlson.com/</w:t>
        </w:r>
      </w:hyperlink>
      <w:r w:rsidR="00664495">
        <w:t xml:space="preserve">. These materials </w:t>
      </w:r>
      <w:r w:rsidR="00B06783">
        <w:t>streamline the terminology and organize the topics in a coherent framework,</w:t>
      </w:r>
      <w:r w:rsidR="000248E7">
        <w:t xml:space="preserve"> and as a consequence,</w:t>
      </w:r>
      <w:r w:rsidR="00B06783">
        <w:t xml:space="preserve"> provide </w:t>
      </w:r>
      <w:r w:rsidR="00B923DC">
        <w:t>efficient</w:t>
      </w:r>
      <w:r w:rsidR="00B06783">
        <w:t xml:space="preserve"> implementation tools.</w:t>
      </w:r>
      <w:r w:rsidR="00D34A32">
        <w:t xml:space="preserve"> </w:t>
      </w:r>
      <w:r w:rsidR="005F333F">
        <w:t xml:space="preserve">The materials </w:t>
      </w:r>
      <w:r w:rsidR="007C57AA">
        <w:t>do not require a textbook; they can be used for self study</w:t>
      </w:r>
      <w:r w:rsidR="005F333F" w:rsidRPr="00C949A6">
        <w:t>.</w:t>
      </w:r>
      <w:r w:rsidR="005F333F">
        <w:t xml:space="preserve"> </w:t>
      </w:r>
      <w:r w:rsidRPr="00C949A6">
        <w:t>The materials can serve two distinct purposes. First, they can be used as core tools</w:t>
      </w:r>
      <w:r w:rsidR="00967C6C">
        <w:t xml:space="preserve"> for</w:t>
      </w:r>
      <w:r w:rsidRPr="00C949A6">
        <w:t xml:space="preserve"> teaching in academic or professional settings. Second, they can be used for practi</w:t>
      </w:r>
      <w:r w:rsidR="008A57E5">
        <w:t xml:space="preserve">cal investment analysis. </w:t>
      </w:r>
    </w:p>
    <w:p w:rsidR="00C949A6" w:rsidRDefault="00C949A6" w:rsidP="00662F6B">
      <w:pPr>
        <w:pStyle w:val="BodyText"/>
      </w:pPr>
      <w:r w:rsidRPr="00C949A6">
        <w:t xml:space="preserve">As to teaching FSA and valuation, </w:t>
      </w:r>
      <w:r w:rsidR="00B91D36">
        <w:t xml:space="preserve">our </w:t>
      </w:r>
      <w:r w:rsidR="00727A98">
        <w:t xml:space="preserve">spreadsheets </w:t>
      </w:r>
      <w:r w:rsidR="00F33E7B">
        <w:t>provide</w:t>
      </w:r>
      <w:r w:rsidR="00B91D36">
        <w:t xml:space="preserve"> a </w:t>
      </w:r>
      <w:r w:rsidR="00F33E7B">
        <w:t>road</w:t>
      </w:r>
      <w:r w:rsidR="00B91D36">
        <w:t xml:space="preserve">map of analysis. The maps </w:t>
      </w:r>
      <w:r w:rsidR="00D10C0B">
        <w:t xml:space="preserve">present the big picture and </w:t>
      </w:r>
      <w:r w:rsidR="00B91D36">
        <w:t xml:space="preserve">delineate </w:t>
      </w:r>
      <w:r w:rsidR="00D10C0B">
        <w:t>the “territories</w:t>
      </w:r>
      <w:r w:rsidR="00F33E7B">
        <w:t>,”</w:t>
      </w:r>
      <w:r w:rsidR="00D10C0B">
        <w:t xml:space="preserve"> i.e., the major components of analysis. </w:t>
      </w:r>
      <w:r w:rsidR="00720FBA">
        <w:t>The</w:t>
      </w:r>
      <w:r w:rsidR="00F33E7B">
        <w:t xml:space="preserve">se maps help users keep the big picture in mind as they work through the details. </w:t>
      </w:r>
      <w:r w:rsidR="00720FBA">
        <w:t xml:space="preserve">The spreadsheets </w:t>
      </w:r>
      <w:r w:rsidR="00C46788">
        <w:t xml:space="preserve">provide a template that can be filled in with real data for hands-on illustrations. </w:t>
      </w:r>
      <w:r w:rsidR="00377679">
        <w:t xml:space="preserve">The power of spreadsheets becomes apparent when one compares them to the traditional sequence of </w:t>
      </w:r>
      <w:r w:rsidR="003D1F34">
        <w:t>text narratives, algebraic derivations,</w:t>
      </w:r>
      <w:r w:rsidR="005970DF">
        <w:t xml:space="preserve"> numerical examples</w:t>
      </w:r>
      <w:r w:rsidR="00662F6B">
        <w:t>, and</w:t>
      </w:r>
      <w:r w:rsidR="00377679">
        <w:t xml:space="preserve"> computations of metrics for </w:t>
      </w:r>
      <w:r w:rsidR="00662F6B">
        <w:t>real cases</w:t>
      </w:r>
      <w:r w:rsidR="005970DF">
        <w:t xml:space="preserve">. </w:t>
      </w:r>
      <w:r w:rsidR="00377679">
        <w:t>Sp</w:t>
      </w:r>
      <w:r w:rsidR="005970DF">
        <w:t>readsheet</w:t>
      </w:r>
      <w:r w:rsidR="00093A15">
        <w:t>s</w:t>
      </w:r>
      <w:r w:rsidR="005970DF">
        <w:t xml:space="preserve"> </w:t>
      </w:r>
      <w:r w:rsidR="000B1D4A">
        <w:t>conde</w:t>
      </w:r>
      <w:r w:rsidR="00836834">
        <w:t>nse this</w:t>
      </w:r>
      <w:r w:rsidR="000B1D4A">
        <w:t xml:space="preserve"> teaching ma</w:t>
      </w:r>
      <w:r w:rsidR="005970DF">
        <w:t>terial by an order of magnitude</w:t>
      </w:r>
      <w:r w:rsidR="00543A68">
        <w:t xml:space="preserve"> and</w:t>
      </w:r>
      <w:r w:rsidR="007C3D78">
        <w:t xml:space="preserve"> enable what-if analyse</w:t>
      </w:r>
      <w:r w:rsidR="00543A68">
        <w:t>s</w:t>
      </w:r>
      <w:r w:rsidR="00836834">
        <w:t xml:space="preserve">. </w:t>
      </w:r>
      <w:r w:rsidR="00377679">
        <w:t xml:space="preserve">In addition to condensing the material and presenting it using spreadsheets, our materials also clean up the terminology and provide a logical sequence of otherwise disparate topics. They </w:t>
      </w:r>
      <w:r w:rsidR="00E502FA">
        <w:t xml:space="preserve">show how </w:t>
      </w:r>
      <w:r w:rsidR="003C4628">
        <w:t xml:space="preserve">valuation </w:t>
      </w:r>
      <w:r w:rsidR="00E502FA">
        <w:t>drives FSA</w:t>
      </w:r>
      <w:r w:rsidR="003C4628">
        <w:t>.</w:t>
      </w:r>
    </w:p>
    <w:p w:rsidR="00312464" w:rsidRDefault="00312464" w:rsidP="00E502FA">
      <w:pPr>
        <w:pStyle w:val="BodyText"/>
      </w:pPr>
      <w:r w:rsidRPr="00312464">
        <w:t>As to the use of the materials for actual investment analysis,</w:t>
      </w:r>
      <w:r w:rsidR="003C4628">
        <w:t xml:space="preserve"> these spreadsheets </w:t>
      </w:r>
      <w:r w:rsidR="00E502FA">
        <w:t xml:space="preserve">have three distinct uses. First, they </w:t>
      </w:r>
      <w:r w:rsidR="003C4628">
        <w:t xml:space="preserve">provide three new metrics namely long-run return on book equity (ROBE), adjusted cash earnings (ACE), and excess implied return (EIR). </w:t>
      </w:r>
      <w:r w:rsidR="00E502FA">
        <w:t xml:space="preserve">Second, they </w:t>
      </w:r>
      <w:r w:rsidR="001F1C14">
        <w:t>summarize</w:t>
      </w:r>
      <w:r w:rsidR="00E502FA">
        <w:t xml:space="preserve"> otherwise detailed models. </w:t>
      </w:r>
      <w:r w:rsidR="001F1C14">
        <w:t>Invest</w:t>
      </w:r>
      <w:r w:rsidR="00E502FA">
        <w:t xml:space="preserve">ment managers </w:t>
      </w:r>
      <w:r w:rsidR="001F1C14">
        <w:t>often face models that ar</w:t>
      </w:r>
      <w:r w:rsidR="00E502FA">
        <w:t>e too detailed and overwhelm</w:t>
      </w:r>
      <w:r w:rsidR="001F1C14">
        <w:t>ing</w:t>
      </w:r>
      <w:r w:rsidR="00E502FA">
        <w:t>. By bolting our summary spreadsheets and metrics as “dashboards” on top of these detailed models, the investment managers can internalize the key drivers of the</w:t>
      </w:r>
      <w:r w:rsidR="00AD72DD">
        <w:t>se</w:t>
      </w:r>
      <w:r w:rsidR="00E502FA">
        <w:t xml:space="preserve"> models. Third, the spreadsheets show the equivalence of various valuation approaches used in practice. </w:t>
      </w:r>
      <w:r w:rsidR="00D81254">
        <w:t>This helps investment managers reconcile apparent differences between various approaches.</w:t>
      </w:r>
    </w:p>
    <w:p w:rsidR="00E940D3" w:rsidRDefault="004779BF" w:rsidP="00E940D3">
      <w:pPr>
        <w:pStyle w:val="BodyText"/>
      </w:pPr>
      <w:r>
        <w:t>T</w:t>
      </w:r>
      <w:r w:rsidRPr="003736AF">
        <w:t>he</w:t>
      </w:r>
      <w:r>
        <w:t>re are four spreadsheets on FSA and four on valuation. They are arranged in the increasing level of sophistication</w:t>
      </w:r>
      <w:r w:rsidRPr="003736AF">
        <w:t>.</w:t>
      </w:r>
      <w:r>
        <w:t xml:space="preserve"> </w:t>
      </w:r>
      <w:r w:rsidRPr="00425CBA">
        <w:t xml:space="preserve">The </w:t>
      </w:r>
      <w:r>
        <w:t>spreadsheets are accompanied by text narratives, which total a</w:t>
      </w:r>
      <w:r w:rsidRPr="00425CBA">
        <w:t xml:space="preserve">bout </w:t>
      </w:r>
      <w:r w:rsidR="004D1A67">
        <w:t>6</w:t>
      </w:r>
      <w:r w:rsidR="0099403C">
        <w:t>0</w:t>
      </w:r>
      <w:r w:rsidRPr="00425CBA">
        <w:t xml:space="preserve"> pages.</w:t>
      </w:r>
      <w:r>
        <w:t xml:space="preserve"> </w:t>
      </w:r>
      <w:r w:rsidR="001C71CA">
        <w:t xml:space="preserve">We elaborate upon the materials </w:t>
      </w:r>
      <w:r w:rsidR="00E940D3">
        <w:t>below:</w:t>
      </w:r>
    </w:p>
    <w:p w:rsidR="00E940D3" w:rsidRDefault="008313EC" w:rsidP="00E940D3">
      <w:pPr>
        <w:pStyle w:val="Heading2"/>
      </w:pPr>
      <w:r>
        <w:t xml:space="preserve">Objective 1: </w:t>
      </w:r>
      <w:r w:rsidR="00E940D3">
        <w:t>Illustrate the concepts as well</w:t>
      </w:r>
      <w:r w:rsidR="002C4A47">
        <w:t xml:space="preserve"> as their practical application</w:t>
      </w:r>
    </w:p>
    <w:p w:rsidR="00E940D3" w:rsidRPr="00590DD4" w:rsidRDefault="007F0DE3" w:rsidP="00E940D3">
      <w:pPr>
        <w:pStyle w:val="BodyText"/>
      </w:pPr>
      <w:r>
        <w:t xml:space="preserve">Much effort has been put into </w:t>
      </w:r>
      <w:r w:rsidR="002C4A47">
        <w:t>condensing the material</w:t>
      </w:r>
      <w:r w:rsidR="00E940D3" w:rsidRPr="00425CBA">
        <w:t>. Key features are:</w:t>
      </w:r>
    </w:p>
    <w:p w:rsidR="001A62D6" w:rsidRDefault="00E940D3" w:rsidP="008313EC">
      <w:pPr>
        <w:pStyle w:val="BodyText"/>
        <w:numPr>
          <w:ilvl w:val="0"/>
          <w:numId w:val="26"/>
        </w:numPr>
      </w:pPr>
      <w:r>
        <w:t xml:space="preserve">Each spreadsheet </w:t>
      </w:r>
      <w:r w:rsidR="00AE3F9E">
        <w:t>lays out the conceptual map by delineating th</w:t>
      </w:r>
      <w:r>
        <w:t xml:space="preserve">e (i) inputs required from financial statements, (ii) the building blocks of analysis and valuation, and (iii) the equations and the steps required to produce key analytical outputs. </w:t>
      </w:r>
    </w:p>
    <w:p w:rsidR="00FA5628" w:rsidRDefault="001A62D6" w:rsidP="00FA5628">
      <w:pPr>
        <w:pStyle w:val="BodyText"/>
        <w:numPr>
          <w:ilvl w:val="0"/>
          <w:numId w:val="26"/>
        </w:numPr>
      </w:pPr>
      <w:r>
        <w:t xml:space="preserve">The spreadsheets </w:t>
      </w:r>
      <w:r w:rsidR="00FA5628">
        <w:t xml:space="preserve">are parsimonious. </w:t>
      </w:r>
      <w:r>
        <w:t>Multiple variations of a key ratio are omitted because they slow down an understanding of the relevant concepts.</w:t>
      </w:r>
      <w:r w:rsidR="00FA5628">
        <w:t xml:space="preserve"> </w:t>
      </w:r>
      <w:r w:rsidR="003023E3">
        <w:t>The spreadsheets require f</w:t>
      </w:r>
      <w:r w:rsidR="00FA5628">
        <w:t>ew inputs</w:t>
      </w:r>
      <w:r w:rsidR="00AF714A">
        <w:t xml:space="preserve"> that</w:t>
      </w:r>
      <w:r w:rsidR="00FA5628">
        <w:t xml:space="preserve"> can be easily extracted from financial statements</w:t>
      </w:r>
      <w:r w:rsidR="003023E3">
        <w:t>. This</w:t>
      </w:r>
      <w:r w:rsidR="00AF714A">
        <w:t xml:space="preserve"> </w:t>
      </w:r>
      <w:r w:rsidR="00FA5628">
        <w:t>speed</w:t>
      </w:r>
      <w:r w:rsidR="003023E3">
        <w:t>s</w:t>
      </w:r>
      <w:r w:rsidR="00FA5628">
        <w:t xml:space="preserve"> up real case analysis.</w:t>
      </w:r>
      <w:r>
        <w:t xml:space="preserve"> </w:t>
      </w:r>
    </w:p>
    <w:p w:rsidR="001A62D6" w:rsidRDefault="00FA5628" w:rsidP="001A62D6">
      <w:pPr>
        <w:pStyle w:val="BodyText"/>
        <w:numPr>
          <w:ilvl w:val="0"/>
          <w:numId w:val="26"/>
        </w:numPr>
      </w:pPr>
      <w:r>
        <w:t>Spreadsheets enable “</w:t>
      </w:r>
      <w:r w:rsidR="001A62D6">
        <w:t>what if” analys</w:t>
      </w:r>
      <w:r w:rsidR="003023E3">
        <w:t>e</w:t>
      </w:r>
      <w:r w:rsidR="001A62D6">
        <w:t>s</w:t>
      </w:r>
      <w:r>
        <w:t>, which are hard to do using a traditional approach.</w:t>
      </w:r>
      <w:r w:rsidR="001A62D6">
        <w:t xml:space="preserve"> </w:t>
      </w:r>
    </w:p>
    <w:p w:rsidR="00E940D3" w:rsidRDefault="00E940D3" w:rsidP="008313EC">
      <w:pPr>
        <w:pStyle w:val="BodyText"/>
        <w:numPr>
          <w:ilvl w:val="0"/>
          <w:numId w:val="26"/>
        </w:numPr>
      </w:pPr>
      <w:r>
        <w:t xml:space="preserve">The </w:t>
      </w:r>
      <w:r w:rsidR="00AE3F9E">
        <w:t xml:space="preserve">technology and </w:t>
      </w:r>
      <w:r>
        <w:t xml:space="preserve">design of spreadsheets </w:t>
      </w:r>
      <w:r w:rsidR="00AE3F9E">
        <w:t>reduce the need for</w:t>
      </w:r>
      <w:r>
        <w:t xml:space="preserve"> extensive textual narratives. Accordingly, the narratives are an o</w:t>
      </w:r>
      <w:r w:rsidR="008313EC">
        <w:t xml:space="preserve">rder of magnitude shorter than </w:t>
      </w:r>
      <w:r w:rsidR="007F0DE3">
        <w:t xml:space="preserve">a </w:t>
      </w:r>
      <w:r>
        <w:t>typical textbook.</w:t>
      </w:r>
    </w:p>
    <w:p w:rsidR="00E940D3" w:rsidRDefault="00FA5628" w:rsidP="008313EC">
      <w:pPr>
        <w:pStyle w:val="BodyText"/>
        <w:numPr>
          <w:ilvl w:val="0"/>
          <w:numId w:val="26"/>
        </w:numPr>
      </w:pPr>
      <w:r>
        <w:t>T</w:t>
      </w:r>
      <w:r w:rsidR="00E940D3">
        <w:t xml:space="preserve">he </w:t>
      </w:r>
      <w:r w:rsidR="00CC0655">
        <w:t>materials</w:t>
      </w:r>
      <w:r w:rsidR="00E940D3">
        <w:t xml:space="preserve"> </w:t>
      </w:r>
      <w:r>
        <w:t xml:space="preserve">omit </w:t>
      </w:r>
      <w:r w:rsidR="00E940D3">
        <w:t xml:space="preserve">accounting and finance details. A rigorous </w:t>
      </w:r>
      <w:r w:rsidR="00A9782D">
        <w:t xml:space="preserve">prior </w:t>
      </w:r>
      <w:r w:rsidR="00E940D3">
        <w:t xml:space="preserve">course in </w:t>
      </w:r>
      <w:r w:rsidR="00E940D3" w:rsidRPr="00E1542C">
        <w:t xml:space="preserve">financial accounting and </w:t>
      </w:r>
      <w:r w:rsidR="00E940D3">
        <w:t xml:space="preserve">another in </w:t>
      </w:r>
      <w:r w:rsidR="00E940D3" w:rsidRPr="00E1542C">
        <w:t>finance</w:t>
      </w:r>
      <w:r w:rsidR="00E940D3">
        <w:t xml:space="preserve"> should suffice</w:t>
      </w:r>
      <w:r w:rsidR="00E940D3" w:rsidRPr="00E1542C">
        <w:t>.</w:t>
      </w:r>
      <w:r w:rsidR="00E940D3">
        <w:t xml:space="preserve"> The spreadsheets highlight “advanced” sections that may be skipped. </w:t>
      </w:r>
    </w:p>
    <w:p w:rsidR="00E940D3" w:rsidRDefault="008313EC" w:rsidP="00E940D3">
      <w:pPr>
        <w:pStyle w:val="Heading2"/>
      </w:pPr>
      <w:r>
        <w:lastRenderedPageBreak/>
        <w:t xml:space="preserve">Objective 2: </w:t>
      </w:r>
      <w:r w:rsidR="00E940D3">
        <w:t>Provide a coherent framework and terminology</w:t>
      </w:r>
    </w:p>
    <w:p w:rsidR="009A24B8" w:rsidRDefault="00E940D3" w:rsidP="000B6132">
      <w:pPr>
        <w:pStyle w:val="BodyText"/>
      </w:pPr>
      <w:r w:rsidRPr="003E4576">
        <w:t xml:space="preserve">The logical flow of spreadsheets provides an organizing </w:t>
      </w:r>
      <w:r>
        <w:t xml:space="preserve">framework for FSA and valuation. The flow underscores how valuation motivates FSA and how FSA supports valuation. </w:t>
      </w:r>
      <w:r w:rsidRPr="003E4576">
        <w:t xml:space="preserve">The framework lists specific steps </w:t>
      </w:r>
      <w:r>
        <w:t xml:space="preserve">for </w:t>
      </w:r>
      <w:r w:rsidRPr="003E4576">
        <w:t>conduct</w:t>
      </w:r>
      <w:r>
        <w:t>ing “hands on” FSA and valuation</w:t>
      </w:r>
      <w:r w:rsidRPr="003E4576">
        <w:t>. Core concepts are highlighted and reinforced repeatedly.</w:t>
      </w:r>
      <w:r>
        <w:t xml:space="preserve"> </w:t>
      </w:r>
    </w:p>
    <w:p w:rsidR="00E940D3" w:rsidRPr="00F340D9" w:rsidRDefault="00E940D3" w:rsidP="000B6132">
      <w:pPr>
        <w:pStyle w:val="BodyText"/>
      </w:pPr>
      <w:r w:rsidRPr="003E4576">
        <w:t>The spreadsheets use consistent terminology that</w:t>
      </w:r>
      <w:r w:rsidR="00D206B0">
        <w:t xml:space="preserve"> ties in to valuation precepts.</w:t>
      </w:r>
      <w:r w:rsidR="009A24B8">
        <w:t xml:space="preserve"> </w:t>
      </w:r>
      <w:r w:rsidR="00414FF4">
        <w:t>They clean up and standardize</w:t>
      </w:r>
      <w:r w:rsidR="009A24B8">
        <w:t xml:space="preserve"> the somewhat inconsistent and diverse terminology used in practice. </w:t>
      </w:r>
      <w:r w:rsidR="005C3E57">
        <w:t>Specifically</w:t>
      </w:r>
      <w:r w:rsidR="00772D33">
        <w:t xml:space="preserve">, </w:t>
      </w:r>
      <w:r w:rsidR="005C3E57">
        <w:t xml:space="preserve">we do not use the term “operating” because of its ambiguous usage in GAAP and in practice. </w:t>
      </w:r>
      <w:r w:rsidR="00F340D9">
        <w:t>We</w:t>
      </w:r>
      <w:r w:rsidR="00DF3E7A">
        <w:t xml:space="preserve"> categorize</w:t>
      </w:r>
      <w:r w:rsidR="00F340D9" w:rsidRPr="00F340D9">
        <w:t xml:space="preserve"> all line items in the fina</w:t>
      </w:r>
      <w:r w:rsidR="00DF3E7A">
        <w:t xml:space="preserve">ncial statements into </w:t>
      </w:r>
      <w:r w:rsidR="00F340D9" w:rsidRPr="00F340D9">
        <w:t>enterprise v</w:t>
      </w:r>
      <w:r w:rsidR="00B73DC7">
        <w:t>ersus</w:t>
      </w:r>
      <w:r w:rsidR="00F340D9" w:rsidRPr="00F340D9">
        <w:t xml:space="preserve"> financial</w:t>
      </w:r>
      <w:r w:rsidR="00DF3E7A">
        <w:t xml:space="preserve"> items</w:t>
      </w:r>
      <w:r w:rsidR="001F7224">
        <w:t>.</w:t>
      </w:r>
    </w:p>
    <w:p w:rsidR="00E940D3" w:rsidRDefault="00381D87" w:rsidP="00E940D3">
      <w:pPr>
        <w:pStyle w:val="Heading2"/>
      </w:pPr>
      <w:r>
        <w:t xml:space="preserve">Objective 3: </w:t>
      </w:r>
      <w:r w:rsidR="00A5569C">
        <w:t>P</w:t>
      </w:r>
      <w:r w:rsidR="00E940D3">
        <w:t>rovide new metrics</w:t>
      </w:r>
      <w:r w:rsidR="00A5569C">
        <w:t xml:space="preserve"> based on latest research</w:t>
      </w:r>
    </w:p>
    <w:p w:rsidR="00E940D3" w:rsidRDefault="00E940D3" w:rsidP="00E940D3">
      <w:pPr>
        <w:pStyle w:val="BodyText"/>
      </w:pPr>
      <w:r>
        <w:t>The spreadsheets incorporate the latest research ideas in accounting-based valuation. They also develop new concepts that have not yet been discussed in research and practice.</w:t>
      </w:r>
    </w:p>
    <w:p w:rsidR="00F01AEB" w:rsidRDefault="00E04C8D">
      <w:pPr>
        <w:pStyle w:val="Heading1"/>
      </w:pPr>
      <w:r>
        <w:t>Organization and b</w:t>
      </w:r>
      <w:r w:rsidR="00F01AEB">
        <w:t>rief description of the spreadsheets</w:t>
      </w:r>
    </w:p>
    <w:p w:rsidR="001A1131" w:rsidRDefault="008E0A54" w:rsidP="00C5202F">
      <w:pPr>
        <w:pStyle w:val="BodyText"/>
      </w:pPr>
      <w:r w:rsidRPr="008E0A54">
        <w:t>The</w:t>
      </w:r>
      <w:r>
        <w:t xml:space="preserve"> spreadsheets comprise two sets – F</w:t>
      </w:r>
      <w:r w:rsidRPr="008E0A54">
        <w:t>SA and valuation. The table below summarize</w:t>
      </w:r>
      <w:r w:rsidR="00D6002A">
        <w:t>s</w:t>
      </w:r>
      <w:r w:rsidRPr="008E0A54">
        <w:t xml:space="preserve"> their brief headings:</w:t>
      </w:r>
      <w:r>
        <w:t xml:space="preserve">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63"/>
        <w:gridCol w:w="236"/>
        <w:gridCol w:w="4381"/>
      </w:tblGrid>
      <w:tr w:rsidR="00E06F6F" w:rsidTr="00E06F6F">
        <w:trPr>
          <w:cantSplit/>
        </w:trPr>
        <w:tc>
          <w:tcPr>
            <w:tcW w:w="0" w:type="auto"/>
            <w:tcBorders>
              <w:bottom w:val="single" w:sz="2" w:space="0" w:color="auto"/>
              <w:right w:val="single" w:sz="2" w:space="0" w:color="auto"/>
            </w:tcBorders>
            <w:shd w:val="clear" w:color="auto" w:fill="CCECFF"/>
          </w:tcPr>
          <w:p w:rsidR="00E06F6F" w:rsidRDefault="00157DE0" w:rsidP="00E06F6F">
            <w:pPr>
              <w:pStyle w:val="TableLeftText"/>
              <w:keepNext/>
            </w:pPr>
            <w:r>
              <w:t>FSA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:rsidR="00E06F6F" w:rsidRDefault="00E06F6F" w:rsidP="00E06F6F">
            <w:pPr>
              <w:pStyle w:val="TableLeftText"/>
              <w:keepNext/>
            </w:pPr>
          </w:p>
        </w:tc>
        <w:tc>
          <w:tcPr>
            <w:tcW w:w="0" w:type="auto"/>
            <w:tcBorders>
              <w:left w:val="single" w:sz="2" w:space="0" w:color="auto"/>
              <w:bottom w:val="single" w:sz="2" w:space="0" w:color="auto"/>
            </w:tcBorders>
            <w:shd w:val="clear" w:color="auto" w:fill="E6E6E6"/>
          </w:tcPr>
          <w:p w:rsidR="00E06F6F" w:rsidRDefault="00E06F6F" w:rsidP="00E06F6F">
            <w:pPr>
              <w:pStyle w:val="TableLeftText"/>
              <w:keepNext/>
            </w:pPr>
            <w:r>
              <w:t>Valuation</w:t>
            </w:r>
          </w:p>
        </w:tc>
      </w:tr>
      <w:tr w:rsidR="00E06F6F" w:rsidTr="00E06F6F">
        <w:trPr>
          <w:cantSplit/>
        </w:trPr>
        <w:tc>
          <w:tcPr>
            <w:tcW w:w="0" w:type="auto"/>
            <w:tcBorders>
              <w:bottom w:val="nil"/>
              <w:right w:val="single" w:sz="2" w:space="0" w:color="auto"/>
            </w:tcBorders>
            <w:shd w:val="clear" w:color="auto" w:fill="auto"/>
          </w:tcPr>
          <w:p w:rsidR="00E06F6F" w:rsidRDefault="00E06F6F" w:rsidP="00E06F6F">
            <w:pPr>
              <w:pStyle w:val="TableLeftText"/>
              <w:keepNext/>
            </w:pPr>
            <w:r>
              <w:t xml:space="preserve">FSA1: </w:t>
            </w:r>
            <w:smartTag w:uri="urn:schemas-microsoft-com:office:smarttags" w:element="place">
              <w:smartTag w:uri="urn:schemas-microsoft-com:office:smarttags" w:element="City">
                <w:r>
                  <w:t>Enterprise</w:t>
                </w:r>
              </w:smartTag>
            </w:smartTag>
            <w:r>
              <w:t xml:space="preserve"> vs. financial activities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06F6F" w:rsidRDefault="00E06F6F" w:rsidP="00E06F6F">
            <w:pPr>
              <w:pStyle w:val="TableLeftText"/>
              <w:keepNext/>
            </w:pPr>
          </w:p>
        </w:tc>
        <w:tc>
          <w:tcPr>
            <w:tcW w:w="0" w:type="auto"/>
            <w:tcBorders>
              <w:left w:val="single" w:sz="2" w:space="0" w:color="auto"/>
              <w:bottom w:val="nil"/>
            </w:tcBorders>
            <w:shd w:val="clear" w:color="auto" w:fill="auto"/>
          </w:tcPr>
          <w:p w:rsidR="00E06F6F" w:rsidRDefault="00E06F6F" w:rsidP="00E06F6F">
            <w:pPr>
              <w:pStyle w:val="TableLeftText"/>
              <w:keepNext/>
            </w:pPr>
            <w:r>
              <w:t xml:space="preserve">VAL1: </w:t>
            </w:r>
            <w:r w:rsidRPr="00CB1CFA">
              <w:t>Forecasting and valuation of cash flows</w:t>
            </w:r>
          </w:p>
        </w:tc>
      </w:tr>
      <w:tr w:rsidR="00E06F6F" w:rsidTr="00E06F6F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:rsidR="00E06F6F" w:rsidRDefault="00E06F6F" w:rsidP="00E06F6F">
            <w:pPr>
              <w:pStyle w:val="TableLeftText"/>
              <w:keepNext/>
            </w:pPr>
            <w:r>
              <w:t xml:space="preserve">FSA2: </w:t>
            </w:r>
            <w:r w:rsidRPr="00F56E9F">
              <w:t>Extracting recurring enterprise income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06F6F" w:rsidRDefault="00E06F6F" w:rsidP="00E06F6F">
            <w:pPr>
              <w:pStyle w:val="TableLeftText"/>
              <w:keepNext/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E06F6F" w:rsidRDefault="00E06F6F" w:rsidP="00E06F6F">
            <w:pPr>
              <w:pStyle w:val="TableLeftText"/>
              <w:keepNext/>
            </w:pPr>
            <w:r>
              <w:t>VAL2: Dividends, book values, and earnings</w:t>
            </w:r>
          </w:p>
        </w:tc>
      </w:tr>
      <w:tr w:rsidR="00E06F6F" w:rsidTr="00E06F6F">
        <w:trPr>
          <w:cantSplit/>
        </w:trPr>
        <w:tc>
          <w:tcPr>
            <w:tcW w:w="0" w:type="auto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</w:tcPr>
          <w:p w:rsidR="00E06F6F" w:rsidRDefault="00E06F6F" w:rsidP="00E06F6F">
            <w:pPr>
              <w:pStyle w:val="TableLeftText"/>
              <w:keepNext/>
            </w:pPr>
            <w:r>
              <w:t xml:space="preserve">FSA3: Long-run </w:t>
            </w:r>
            <w:r w:rsidR="00911C2A">
              <w:t>historical ROE</w:t>
            </w:r>
            <w:r w:rsidRPr="001D43CE">
              <w:t xml:space="preserve"> and IRR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06F6F" w:rsidRDefault="00E06F6F" w:rsidP="00E06F6F">
            <w:pPr>
              <w:pStyle w:val="TableLeftText"/>
              <w:keepNext/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</w:tcBorders>
            <w:shd w:val="clear" w:color="auto" w:fill="auto"/>
          </w:tcPr>
          <w:p w:rsidR="00E06F6F" w:rsidRPr="00630C33" w:rsidRDefault="00E06F6F" w:rsidP="00E06F6F">
            <w:pPr>
              <w:pStyle w:val="TableLeftText"/>
              <w:keepNext/>
            </w:pPr>
            <w:r>
              <w:t xml:space="preserve">VAL3: </w:t>
            </w:r>
            <w:r w:rsidR="00A14981">
              <w:t>Adjusted analyst forecasts</w:t>
            </w:r>
          </w:p>
        </w:tc>
      </w:tr>
      <w:tr w:rsidR="00E06F6F" w:rsidTr="00E06F6F">
        <w:trPr>
          <w:cantSplit/>
        </w:trPr>
        <w:tc>
          <w:tcPr>
            <w:tcW w:w="0" w:type="auto"/>
            <w:tcBorders>
              <w:top w:val="nil"/>
              <w:right w:val="single" w:sz="2" w:space="0" w:color="auto"/>
            </w:tcBorders>
            <w:shd w:val="clear" w:color="auto" w:fill="auto"/>
          </w:tcPr>
          <w:p w:rsidR="00E06F6F" w:rsidRDefault="00E06F6F" w:rsidP="00E06F6F">
            <w:pPr>
              <w:pStyle w:val="TableLeftText"/>
            </w:pPr>
            <w:r>
              <w:t>FSA4: Adjusted Cash Earnings (ACE)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06F6F" w:rsidRDefault="00E06F6F" w:rsidP="00E06F6F">
            <w:pPr>
              <w:pStyle w:val="TableLeftText"/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</w:tcBorders>
            <w:shd w:val="clear" w:color="auto" w:fill="auto"/>
          </w:tcPr>
          <w:p w:rsidR="00E06F6F" w:rsidRDefault="00E06F6F" w:rsidP="00E06F6F">
            <w:pPr>
              <w:pStyle w:val="TableLeftText"/>
            </w:pPr>
            <w:r>
              <w:t xml:space="preserve">VAL4: </w:t>
            </w:r>
            <w:r w:rsidR="00757BF1">
              <w:t>Excess Implied Return (EIR)</w:t>
            </w:r>
          </w:p>
        </w:tc>
      </w:tr>
    </w:tbl>
    <w:p w:rsidR="00D6002A" w:rsidRDefault="00D6002A" w:rsidP="00D6002A">
      <w:pPr>
        <w:pStyle w:val="6pointSpacer"/>
      </w:pPr>
    </w:p>
    <w:p w:rsidR="00494923" w:rsidRDefault="00494923" w:rsidP="00C5202F">
      <w:pPr>
        <w:pStyle w:val="BodyText"/>
      </w:pPr>
      <w:r>
        <w:t xml:space="preserve">[No one-to-one correspondence between </w:t>
      </w:r>
      <w:r w:rsidR="00FF2C86">
        <w:t>FSA and valuation spreadsheets</w:t>
      </w:r>
      <w:r w:rsidR="000F7E19">
        <w:t xml:space="preserve"> is</w:t>
      </w:r>
      <w:r>
        <w:t xml:space="preserve"> implied.]</w:t>
      </w:r>
    </w:p>
    <w:p w:rsidR="008E0A54" w:rsidRDefault="00D6002A" w:rsidP="00C5202F">
      <w:pPr>
        <w:pStyle w:val="BodyText"/>
      </w:pPr>
      <w:r w:rsidRPr="00D6002A">
        <w:t>FS</w:t>
      </w:r>
      <w:r w:rsidR="00F453A1">
        <w:t>A and valuation are intertwined.</w:t>
      </w:r>
      <w:r w:rsidR="00D73DBD">
        <w:t xml:space="preserve"> </w:t>
      </w:r>
      <w:r w:rsidR="00756ACB">
        <w:t xml:space="preserve">Valuation requires projecting future performance. One of the ingredients of such projections is analysis of the past performance gleaned from </w:t>
      </w:r>
      <w:r w:rsidR="00F453A1">
        <w:t>FSA</w:t>
      </w:r>
      <w:r w:rsidR="00756ACB">
        <w:t xml:space="preserve">. </w:t>
      </w:r>
      <w:r w:rsidR="00FF2C86" w:rsidRPr="008C6F1C">
        <w:t>The</w:t>
      </w:r>
      <w:r w:rsidR="00F453A1" w:rsidRPr="008C6F1C">
        <w:t xml:space="preserve"> </w:t>
      </w:r>
      <w:r w:rsidR="00FF2C86">
        <w:t>goal</w:t>
      </w:r>
      <w:r w:rsidR="00F453A1" w:rsidRPr="008C6F1C">
        <w:t xml:space="preserve"> that FSA </w:t>
      </w:r>
      <w:r w:rsidR="00FF2C86">
        <w:t>should</w:t>
      </w:r>
      <w:r w:rsidR="00F453A1" w:rsidRPr="008C6F1C">
        <w:t xml:space="preserve"> </w:t>
      </w:r>
      <w:r w:rsidR="00FF2C86">
        <w:t xml:space="preserve">support </w:t>
      </w:r>
      <w:r w:rsidR="00F453A1" w:rsidRPr="008C6F1C">
        <w:t>valuation helps narrow the scope of the FSA spreadsheets; we leave out analyses from the perspective of regulator</w:t>
      </w:r>
      <w:r w:rsidR="00F453A1">
        <w:t xml:space="preserve">s, lenders, and consumers, etc. </w:t>
      </w:r>
    </w:p>
    <w:p w:rsidR="00624785" w:rsidRDefault="00624785" w:rsidP="00624785">
      <w:pPr>
        <w:pStyle w:val="Heading2"/>
      </w:pPr>
      <w:r>
        <w:t xml:space="preserve">The </w:t>
      </w:r>
      <w:r w:rsidR="00975B79">
        <w:t>f</w:t>
      </w:r>
      <w:r w:rsidR="00916B97">
        <w:t xml:space="preserve">oundation: </w:t>
      </w:r>
      <w:r>
        <w:t>FSA1 and VAL1</w:t>
      </w:r>
    </w:p>
    <w:p w:rsidR="002A3D53" w:rsidRDefault="00811192" w:rsidP="00F453A1">
      <w:pPr>
        <w:pStyle w:val="BodyText"/>
      </w:pPr>
      <w:r w:rsidRPr="00811192">
        <w:t xml:space="preserve">FSA1 and VAL1 </w:t>
      </w:r>
      <w:r>
        <w:t>explain</w:t>
      </w:r>
      <w:r w:rsidRPr="00811192">
        <w:t xml:space="preserve"> the core concepts necessary to understand the remaining spreadsheets.</w:t>
      </w:r>
      <w:r>
        <w:t xml:space="preserve"> </w:t>
      </w:r>
      <w:r w:rsidR="00041099">
        <w:t>FSA1 provides the historical metrics necessary for projecting the key inputs in VAL1, and thus t</w:t>
      </w:r>
      <w:r w:rsidR="00041099" w:rsidRPr="008C6F1C">
        <w:t xml:space="preserve">he relevance of </w:t>
      </w:r>
      <w:r w:rsidR="00041099">
        <w:t>FSA1</w:t>
      </w:r>
      <w:r w:rsidR="00041099" w:rsidRPr="008C6F1C">
        <w:t xml:space="preserve"> </w:t>
      </w:r>
      <w:r w:rsidR="00D73DBD">
        <w:t>b</w:t>
      </w:r>
      <w:r w:rsidR="00041099" w:rsidRPr="008C6F1C">
        <w:t>ecome</w:t>
      </w:r>
      <w:r w:rsidR="00D73DBD">
        <w:t>s</w:t>
      </w:r>
      <w:r w:rsidR="00041099" w:rsidRPr="008C6F1C">
        <w:t xml:space="preserve"> apparent when one studies VAL1</w:t>
      </w:r>
      <w:r w:rsidR="00041099">
        <w:t xml:space="preserve">. </w:t>
      </w:r>
      <w:r w:rsidR="0031053D">
        <w:t xml:space="preserve">Conversely, VAL1 relies on terminology and derivations explained in FSA1. Therefore, </w:t>
      </w:r>
      <w:r w:rsidR="00F453A1">
        <w:t>o</w:t>
      </w:r>
      <w:r w:rsidR="00F453A1" w:rsidRPr="008C6F1C">
        <w:t>ne should refer back and forth between FSA</w:t>
      </w:r>
      <w:r w:rsidR="001745EE">
        <w:t>1</w:t>
      </w:r>
      <w:r w:rsidR="00F453A1">
        <w:t xml:space="preserve"> and </w:t>
      </w:r>
      <w:r w:rsidR="001745EE">
        <w:t>VAL1</w:t>
      </w:r>
      <w:r w:rsidR="00F453A1" w:rsidRPr="008C6F1C">
        <w:t xml:space="preserve"> to </w:t>
      </w:r>
      <w:r w:rsidR="00EA37CE">
        <w:t>understand</w:t>
      </w:r>
      <w:r w:rsidR="00F453A1" w:rsidRPr="008C6F1C">
        <w:t xml:space="preserve"> both.</w:t>
      </w:r>
    </w:p>
    <w:p w:rsidR="00624785" w:rsidRDefault="00624785" w:rsidP="00624785">
      <w:pPr>
        <w:pStyle w:val="Heading3"/>
      </w:pPr>
      <w:r>
        <w:t xml:space="preserve">FSA1: </w:t>
      </w:r>
      <w:smartTag w:uri="urn:schemas-microsoft-com:office:smarttags" w:element="place">
        <w:smartTag w:uri="urn:schemas-microsoft-com:office:smarttags" w:element="City">
          <w:r>
            <w:t>Enterprise</w:t>
          </w:r>
        </w:smartTag>
      </w:smartTag>
      <w:r>
        <w:t xml:space="preserve"> vs. financial activities</w:t>
      </w:r>
    </w:p>
    <w:p w:rsidR="00FB08E1" w:rsidRDefault="0096694F" w:rsidP="00C7723E">
      <w:pPr>
        <w:pStyle w:val="BodyText"/>
      </w:pPr>
      <w:r>
        <w:t>This spread</w:t>
      </w:r>
      <w:r w:rsidRPr="00A520A5">
        <w:t xml:space="preserve">sheet </w:t>
      </w:r>
      <w:r>
        <w:t>is the foundation for FSA.</w:t>
      </w:r>
      <w:r w:rsidR="00C7723E">
        <w:t xml:space="preserve"> It does </w:t>
      </w:r>
      <w:r w:rsidR="00FB08E1">
        <w:t>the following:</w:t>
      </w:r>
    </w:p>
    <w:p w:rsidR="00FB08E1" w:rsidRDefault="00FB08E1" w:rsidP="00C5202F">
      <w:pPr>
        <w:pStyle w:val="BodyText"/>
        <w:numPr>
          <w:ilvl w:val="0"/>
          <w:numId w:val="11"/>
        </w:numPr>
      </w:pPr>
      <w:r>
        <w:t>Categorize</w:t>
      </w:r>
      <w:r w:rsidR="00136584">
        <w:t>s</w:t>
      </w:r>
      <w:r w:rsidR="00A0307A" w:rsidRPr="00A520A5">
        <w:t xml:space="preserve"> all items in the balance sheet and income statement into enterprise versus f</w:t>
      </w:r>
      <w:r w:rsidR="00A0307A">
        <w:t>inancial items.</w:t>
      </w:r>
    </w:p>
    <w:p w:rsidR="00FB08E1" w:rsidRDefault="00FB08E1" w:rsidP="00C5202F">
      <w:pPr>
        <w:pStyle w:val="BodyText"/>
        <w:numPr>
          <w:ilvl w:val="0"/>
          <w:numId w:val="11"/>
        </w:numPr>
      </w:pPr>
      <w:r>
        <w:t>D</w:t>
      </w:r>
      <w:r w:rsidR="00A0307A">
        <w:t xml:space="preserve">erives enterprise cash flows </w:t>
      </w:r>
      <w:r>
        <w:t xml:space="preserve">as </w:t>
      </w:r>
      <w:r w:rsidR="0078319C">
        <w:t>e</w:t>
      </w:r>
      <w:r>
        <w:t xml:space="preserve">nterprise profits after tax </w:t>
      </w:r>
      <w:r w:rsidR="0078319C">
        <w:t>minus</w:t>
      </w:r>
      <w:r>
        <w:t xml:space="preserve"> </w:t>
      </w:r>
      <w:r w:rsidR="0078319C">
        <w:t>change</w:t>
      </w:r>
      <w:r>
        <w:t xml:space="preserve"> in net enterprise assets</w:t>
      </w:r>
      <w:r w:rsidR="00136584">
        <w:t>.</w:t>
      </w:r>
    </w:p>
    <w:p w:rsidR="00FB08E1" w:rsidRDefault="009246DB" w:rsidP="00C5202F">
      <w:pPr>
        <w:pStyle w:val="BodyText"/>
        <w:numPr>
          <w:ilvl w:val="0"/>
          <w:numId w:val="11"/>
        </w:numPr>
      </w:pPr>
      <w:r>
        <w:t>Shows</w:t>
      </w:r>
      <w:r w:rsidR="00FB08E1">
        <w:t xml:space="preserve"> </w:t>
      </w:r>
      <w:r w:rsidR="00790D93">
        <w:t xml:space="preserve">how </w:t>
      </w:r>
      <w:r w:rsidR="00FB08E1">
        <w:t xml:space="preserve">enterprise cash flows </w:t>
      </w:r>
      <w:r w:rsidR="00790D93">
        <w:t>have been</w:t>
      </w:r>
      <w:r w:rsidR="00FB08E1">
        <w:t xml:space="preserve"> financed </w:t>
      </w:r>
      <w:r w:rsidR="00790D93">
        <w:t>if</w:t>
      </w:r>
      <w:r w:rsidR="00FB08E1">
        <w:t xml:space="preserve"> they are negative, or how </w:t>
      </w:r>
      <w:r w:rsidR="00790D93">
        <w:t>they have been disbursed if they are positive.</w:t>
      </w:r>
    </w:p>
    <w:p w:rsidR="00C6008A" w:rsidRDefault="00FB08E1" w:rsidP="00C5202F">
      <w:pPr>
        <w:pStyle w:val="BodyText"/>
        <w:numPr>
          <w:ilvl w:val="0"/>
          <w:numId w:val="11"/>
        </w:numPr>
      </w:pPr>
      <w:r>
        <w:t>C</w:t>
      </w:r>
      <w:r w:rsidR="00A0307A">
        <w:t xml:space="preserve">omputes key </w:t>
      </w:r>
      <w:r w:rsidR="00C6008A">
        <w:t xml:space="preserve">enterprise </w:t>
      </w:r>
      <w:r w:rsidR="00A0307A" w:rsidRPr="00A520A5">
        <w:t xml:space="preserve">performance metrics </w:t>
      </w:r>
      <w:r w:rsidR="00A0307A">
        <w:t>such as</w:t>
      </w:r>
      <w:r w:rsidR="00C6008A">
        <w:t xml:space="preserve"> </w:t>
      </w:r>
      <w:r>
        <w:t xml:space="preserve">enterprise </w:t>
      </w:r>
      <w:r w:rsidR="00A0307A">
        <w:t>profit margin</w:t>
      </w:r>
      <w:r w:rsidR="00C6008A">
        <w:t xml:space="preserve"> after tax</w:t>
      </w:r>
      <w:r w:rsidR="00A0307A">
        <w:t xml:space="preserve">, </w:t>
      </w:r>
      <w:r w:rsidR="00C6008A">
        <w:t xml:space="preserve">net enterprise assets needed to generate sales, and return on invested capital. </w:t>
      </w:r>
      <w:r w:rsidR="006F398D">
        <w:t>T</w:t>
      </w:r>
      <w:r w:rsidR="006F398D" w:rsidRPr="006F398D">
        <w:t xml:space="preserve">hese </w:t>
      </w:r>
      <w:r w:rsidR="00C6008A">
        <w:t xml:space="preserve">enterprise </w:t>
      </w:r>
      <w:r w:rsidR="006F398D" w:rsidRPr="006F398D">
        <w:t>performance metric</w:t>
      </w:r>
      <w:r w:rsidR="006F398D">
        <w:t>s</w:t>
      </w:r>
      <w:r w:rsidR="006F398D" w:rsidRPr="006F398D">
        <w:t xml:space="preserve"> </w:t>
      </w:r>
      <w:r w:rsidR="006F398D">
        <w:t xml:space="preserve">are </w:t>
      </w:r>
      <w:r w:rsidR="006D35A3">
        <w:t xml:space="preserve">used </w:t>
      </w:r>
      <w:r w:rsidR="00C6008A">
        <w:t xml:space="preserve">as inputs </w:t>
      </w:r>
      <w:r w:rsidR="006D35A3">
        <w:t>in</w:t>
      </w:r>
      <w:r w:rsidR="008F29F9">
        <w:t xml:space="preserve"> </w:t>
      </w:r>
      <w:r w:rsidR="006F398D">
        <w:t xml:space="preserve">forecasting </w:t>
      </w:r>
      <w:r w:rsidR="00C6008A">
        <w:t>future enterprise cash flows in VAL1.</w:t>
      </w:r>
    </w:p>
    <w:p w:rsidR="00624785" w:rsidRPr="006F398D" w:rsidRDefault="00C6008A" w:rsidP="00C5202F">
      <w:pPr>
        <w:pStyle w:val="BodyText"/>
        <w:numPr>
          <w:ilvl w:val="0"/>
          <w:numId w:val="11"/>
        </w:numPr>
      </w:pPr>
      <w:r>
        <w:t xml:space="preserve">Shows how return on equity </w:t>
      </w:r>
      <w:r w:rsidR="00790D93">
        <w:t>depends on return on invested capital and leverage.</w:t>
      </w:r>
    </w:p>
    <w:p w:rsidR="00624785" w:rsidRDefault="00624785" w:rsidP="00624785">
      <w:pPr>
        <w:pStyle w:val="Heading3"/>
      </w:pPr>
      <w:r>
        <w:t xml:space="preserve">VAL1: </w:t>
      </w:r>
      <w:r w:rsidR="00C8609E">
        <w:t>Equity valuation using the discounted cash flows model</w:t>
      </w:r>
    </w:p>
    <w:p w:rsidR="0096694F" w:rsidRDefault="00A34218" w:rsidP="00222574">
      <w:pPr>
        <w:pStyle w:val="BodyText"/>
      </w:pPr>
      <w:r w:rsidRPr="00A34218">
        <w:t xml:space="preserve">The spreadsheet </w:t>
      </w:r>
      <w:r w:rsidR="001723B1">
        <w:t xml:space="preserve">provides the </w:t>
      </w:r>
      <w:r w:rsidR="00D502D4">
        <w:t xml:space="preserve">framework for making the decision to invest in a stock. The first part of the spreadsheet </w:t>
      </w:r>
      <w:r w:rsidR="00D502D4" w:rsidRPr="00D502D4">
        <w:t>comput</w:t>
      </w:r>
      <w:r w:rsidR="00D502D4">
        <w:t xml:space="preserve">es </w:t>
      </w:r>
      <w:r w:rsidR="00D502D4" w:rsidRPr="00D502D4">
        <w:t xml:space="preserve">intrinsic value using </w:t>
      </w:r>
      <w:r w:rsidR="00D502D4">
        <w:t xml:space="preserve">the DCF </w:t>
      </w:r>
      <w:r w:rsidR="00D502D4" w:rsidRPr="00D502D4">
        <w:t>valuation model</w:t>
      </w:r>
      <w:r w:rsidR="00D502D4">
        <w:t xml:space="preserve"> and the second step develops net income forecasts, which can be compared with analyst forecasts and are used to compute the forward PE ratio.</w:t>
      </w:r>
      <w:r w:rsidR="008C6F1C">
        <w:t xml:space="preserve"> </w:t>
      </w:r>
      <w:r w:rsidR="0096694F">
        <w:t>Th</w:t>
      </w:r>
      <w:r w:rsidR="00D502D4">
        <w:t>e</w:t>
      </w:r>
      <w:r w:rsidR="0096694F">
        <w:t xml:space="preserve"> spreadsheet does the following:</w:t>
      </w:r>
    </w:p>
    <w:p w:rsidR="00D502D4" w:rsidRDefault="00D502D4" w:rsidP="00D502D4">
      <w:pPr>
        <w:pStyle w:val="Caption"/>
      </w:pPr>
      <w:r>
        <w:t>Part 1</w:t>
      </w:r>
      <w:r w:rsidR="00636237">
        <w:t>: The DCF model</w:t>
      </w:r>
    </w:p>
    <w:p w:rsidR="00136584" w:rsidRDefault="00F115D8" w:rsidP="00C5202F">
      <w:pPr>
        <w:pStyle w:val="BodyText"/>
        <w:numPr>
          <w:ilvl w:val="0"/>
          <w:numId w:val="11"/>
        </w:numPr>
      </w:pPr>
      <w:r>
        <w:t xml:space="preserve">Forecasts enterprise cash flows by projecting the drivers of enterprise cash flows identified in FSA1. These drivers are – sales, enterprise profit margin after tax, and net enterprise assets needed. </w:t>
      </w:r>
    </w:p>
    <w:p w:rsidR="00696160" w:rsidRPr="00696160" w:rsidRDefault="00696160" w:rsidP="00696160">
      <w:pPr>
        <w:pStyle w:val="BodyText"/>
        <w:numPr>
          <w:ilvl w:val="1"/>
          <w:numId w:val="11"/>
        </w:numPr>
      </w:pPr>
      <w:smartTag w:uri="urn:schemas-microsoft-com:office:smarttags" w:element="City">
        <w:smartTag w:uri="urn:schemas-microsoft-com:office:smarttags" w:element="place">
          <w:r w:rsidRPr="00696160">
            <w:t>Enterprise</w:t>
          </w:r>
        </w:smartTag>
      </w:smartTag>
      <w:r w:rsidRPr="00696160">
        <w:t xml:space="preserve"> cash flows = enterprise profit after tax – change in net enterprise assets</w:t>
      </w:r>
    </w:p>
    <w:p w:rsidR="00696160" w:rsidRPr="00696160" w:rsidRDefault="00E071D8" w:rsidP="00696160">
      <w:pPr>
        <w:pStyle w:val="BodyText"/>
        <w:numPr>
          <w:ilvl w:val="1"/>
          <w:numId w:val="11"/>
        </w:numPr>
      </w:pPr>
      <w:r>
        <w:t>S</w:t>
      </w:r>
      <w:r w:rsidR="00696160" w:rsidRPr="00696160">
        <w:t xml:space="preserve">ales = sales * (1 + </w:t>
      </w:r>
      <w:r w:rsidR="00840FAD">
        <w:rPr>
          <w:b/>
          <w:i/>
          <w:color w:val="008000"/>
        </w:rPr>
        <w:t xml:space="preserve">forecasted </w:t>
      </w:r>
      <w:r w:rsidR="00917448">
        <w:rPr>
          <w:b/>
          <w:i/>
          <w:color w:val="008000"/>
        </w:rPr>
        <w:t>s</w:t>
      </w:r>
      <w:r w:rsidR="00696160" w:rsidRPr="00840FAD">
        <w:rPr>
          <w:b/>
          <w:i/>
          <w:color w:val="008000"/>
        </w:rPr>
        <w:t>ales growth</w:t>
      </w:r>
      <w:r w:rsidR="00696160" w:rsidRPr="00696160">
        <w:t>)</w:t>
      </w:r>
    </w:p>
    <w:p w:rsidR="00696160" w:rsidRPr="00696160" w:rsidRDefault="00696160" w:rsidP="00696160">
      <w:pPr>
        <w:pStyle w:val="BodyText"/>
        <w:numPr>
          <w:ilvl w:val="1"/>
          <w:numId w:val="11"/>
        </w:numPr>
      </w:pPr>
      <w:smartTag w:uri="urn:schemas-microsoft-com:office:smarttags" w:element="City">
        <w:smartTag w:uri="urn:schemas-microsoft-com:office:smarttags" w:element="place">
          <w:r w:rsidRPr="00696160">
            <w:t>Enterprise</w:t>
          </w:r>
        </w:smartTag>
      </w:smartTag>
      <w:r w:rsidRPr="00696160">
        <w:t xml:space="preserve"> profit after tax = sales * </w:t>
      </w:r>
      <w:r w:rsidR="00840FAD">
        <w:rPr>
          <w:b/>
          <w:i/>
          <w:color w:val="008000"/>
        </w:rPr>
        <w:t>forecasted e</w:t>
      </w:r>
      <w:r w:rsidRPr="00840FAD">
        <w:rPr>
          <w:b/>
          <w:i/>
          <w:color w:val="008000"/>
        </w:rPr>
        <w:t>nterprise profit margin after tax</w:t>
      </w:r>
    </w:p>
    <w:p w:rsidR="00696160" w:rsidRDefault="00696160" w:rsidP="00696160">
      <w:pPr>
        <w:pStyle w:val="BodyText"/>
        <w:numPr>
          <w:ilvl w:val="1"/>
          <w:numId w:val="11"/>
        </w:numPr>
      </w:pPr>
      <w:r w:rsidRPr="00696160">
        <w:t xml:space="preserve">Net enterprise assets = </w:t>
      </w:r>
      <w:r w:rsidR="00E071D8" w:rsidRPr="00696160">
        <w:t xml:space="preserve">sales </w:t>
      </w:r>
      <w:r w:rsidR="00E071D8">
        <w:t xml:space="preserve">* </w:t>
      </w:r>
      <w:r w:rsidR="00840FAD">
        <w:rPr>
          <w:b/>
          <w:i/>
          <w:color w:val="008000"/>
        </w:rPr>
        <w:t>forecasted r</w:t>
      </w:r>
      <w:r w:rsidRPr="00840FAD">
        <w:rPr>
          <w:b/>
          <w:i/>
          <w:color w:val="008000"/>
        </w:rPr>
        <w:t xml:space="preserve">atio of </w:t>
      </w:r>
      <w:r w:rsidR="00E071D8" w:rsidRPr="00840FAD">
        <w:rPr>
          <w:b/>
          <w:i/>
          <w:color w:val="008000"/>
        </w:rPr>
        <w:t>net enterprise assets to sales</w:t>
      </w:r>
    </w:p>
    <w:p w:rsidR="00016E4A" w:rsidRDefault="00696160" w:rsidP="00696160">
      <w:pPr>
        <w:pStyle w:val="BodyText"/>
        <w:numPr>
          <w:ilvl w:val="0"/>
          <w:numId w:val="11"/>
        </w:numPr>
      </w:pPr>
      <w:r>
        <w:t>D</w:t>
      </w:r>
      <w:r w:rsidR="00016E4A">
        <w:t>iscounts the enterprise cash flows at</w:t>
      </w:r>
      <w:r w:rsidR="00C8609E">
        <w:t xml:space="preserve"> the </w:t>
      </w:r>
      <w:r w:rsidR="006D4541">
        <w:t>enterprise</w:t>
      </w:r>
      <w:r w:rsidR="00C8609E">
        <w:t xml:space="preserve"> cost of capital</w:t>
      </w:r>
      <w:r w:rsidR="006D4541">
        <w:t xml:space="preserve"> (wacc)</w:t>
      </w:r>
      <w:r w:rsidR="00C8609E">
        <w:t xml:space="preserve"> to arrive at enterprise value</w:t>
      </w:r>
    </w:p>
    <w:p w:rsidR="00F74B44" w:rsidRDefault="00F74B44" w:rsidP="00F74B44">
      <w:pPr>
        <w:pStyle w:val="BodyText"/>
        <w:numPr>
          <w:ilvl w:val="0"/>
          <w:numId w:val="11"/>
        </w:numPr>
      </w:pPr>
      <w:r>
        <w:t>Derives equity value by subtracting net financial li</w:t>
      </w:r>
      <w:r w:rsidR="006D4541">
        <w:t>abilities from enterprise value</w:t>
      </w:r>
    </w:p>
    <w:p w:rsidR="00D502D4" w:rsidRDefault="00D502D4" w:rsidP="00D502D4">
      <w:pPr>
        <w:pStyle w:val="Caption"/>
      </w:pPr>
      <w:r>
        <w:t>Part 2</w:t>
      </w:r>
      <w:r w:rsidR="00636237">
        <w:t xml:space="preserve">: </w:t>
      </w:r>
      <w:r w:rsidR="00636237" w:rsidRPr="00636237">
        <w:t>Forecasting of net income and dividends for relative valuation</w:t>
      </w:r>
    </w:p>
    <w:p w:rsidR="00696160" w:rsidRDefault="00E071D8" w:rsidP="00C5202F">
      <w:pPr>
        <w:pStyle w:val="BodyText"/>
        <w:numPr>
          <w:ilvl w:val="0"/>
          <w:numId w:val="11"/>
        </w:numPr>
      </w:pPr>
      <w:r>
        <w:t>N</w:t>
      </w:r>
      <w:r w:rsidR="00C8609E">
        <w:t xml:space="preserve">et financial liabilities </w:t>
      </w:r>
      <w:r>
        <w:t xml:space="preserve">= net enterprise assets * </w:t>
      </w:r>
      <w:r w:rsidR="00840FAD">
        <w:rPr>
          <w:b/>
          <w:i/>
          <w:color w:val="008000"/>
        </w:rPr>
        <w:t>forecasted r</w:t>
      </w:r>
      <w:r w:rsidR="00D502D4" w:rsidRPr="00840FAD">
        <w:rPr>
          <w:b/>
          <w:i/>
          <w:color w:val="008000"/>
        </w:rPr>
        <w:t>atio of net financial liabi</w:t>
      </w:r>
      <w:r w:rsidRPr="00840FAD">
        <w:rPr>
          <w:b/>
          <w:i/>
          <w:color w:val="008000"/>
        </w:rPr>
        <w:t>lities to net enterprise assets</w:t>
      </w:r>
    </w:p>
    <w:p w:rsidR="00C8609E" w:rsidRDefault="00E071D8" w:rsidP="00C5202F">
      <w:pPr>
        <w:pStyle w:val="BodyText"/>
        <w:numPr>
          <w:ilvl w:val="0"/>
          <w:numId w:val="11"/>
        </w:numPr>
      </w:pPr>
      <w:r>
        <w:t>N</w:t>
      </w:r>
      <w:r w:rsidR="00696160">
        <w:t xml:space="preserve">et financial expense </w:t>
      </w:r>
      <w:r>
        <w:t xml:space="preserve">= net financial liabilities * </w:t>
      </w:r>
      <w:r w:rsidR="00840FAD">
        <w:rPr>
          <w:b/>
          <w:i/>
          <w:color w:val="008000"/>
        </w:rPr>
        <w:t>forecasted n</w:t>
      </w:r>
      <w:r w:rsidRPr="00840FAD">
        <w:rPr>
          <w:b/>
          <w:i/>
          <w:color w:val="008000"/>
        </w:rPr>
        <w:t>et financial expense rate</w:t>
      </w:r>
    </w:p>
    <w:p w:rsidR="0058124A" w:rsidRDefault="00E071D8" w:rsidP="00C5202F">
      <w:pPr>
        <w:pStyle w:val="BodyText"/>
        <w:numPr>
          <w:ilvl w:val="0"/>
          <w:numId w:val="11"/>
        </w:numPr>
      </w:pPr>
      <w:r>
        <w:t>N</w:t>
      </w:r>
      <w:r w:rsidR="0058124A">
        <w:t xml:space="preserve">et income </w:t>
      </w:r>
      <w:r>
        <w:t xml:space="preserve">= enterprise profit after tax - </w:t>
      </w:r>
      <w:r w:rsidR="005F4F76">
        <w:t>net financial expense after tax</w:t>
      </w:r>
      <w:r>
        <w:t>.</w:t>
      </w:r>
      <w:r w:rsidR="0058124A">
        <w:t xml:space="preserve"> These forecasts of net income can be compared to net income forecasts provided by analysts.</w:t>
      </w:r>
    </w:p>
    <w:p w:rsidR="00624785" w:rsidRDefault="000A4C1E" w:rsidP="008C6F1C">
      <w:pPr>
        <w:pStyle w:val="BodyText"/>
        <w:numPr>
          <w:ilvl w:val="0"/>
          <w:numId w:val="11"/>
        </w:numPr>
      </w:pPr>
      <w:r>
        <w:t xml:space="preserve">Computes three key valuation metrics for relative valuation: </w:t>
      </w:r>
      <w:r w:rsidR="002A0D47">
        <w:t>forward PE</w:t>
      </w:r>
      <w:r>
        <w:t xml:space="preserve"> ratio, </w:t>
      </w:r>
      <w:r w:rsidR="00555B3C">
        <w:t>forward dividends to price ratio, and the price to boo</w:t>
      </w:r>
      <w:r w:rsidR="00E071D8">
        <w:t>k ratio</w:t>
      </w:r>
    </w:p>
    <w:p w:rsidR="00F24A99" w:rsidRDefault="00F24A99" w:rsidP="00F24A99">
      <w:pPr>
        <w:pStyle w:val="Heading2"/>
      </w:pPr>
      <w:r>
        <w:t xml:space="preserve">The </w:t>
      </w:r>
      <w:r w:rsidR="00A546D4">
        <w:t>three</w:t>
      </w:r>
      <w:r w:rsidR="00A5569C">
        <w:t xml:space="preserve"> </w:t>
      </w:r>
      <w:r>
        <w:t>remaining FSA spreadsheets</w:t>
      </w:r>
    </w:p>
    <w:p w:rsidR="005F4E44" w:rsidRDefault="009D55EE" w:rsidP="00C5202F">
      <w:pPr>
        <w:pStyle w:val="BodyText"/>
      </w:pPr>
      <w:r>
        <w:t xml:space="preserve">These remaining FSA spreadsheets are </w:t>
      </w:r>
      <w:r w:rsidR="00A54AF6">
        <w:t>self-contained</w:t>
      </w:r>
      <w:r>
        <w:t xml:space="preserve"> once the reader is familiar with FSA1 and VAL1.</w:t>
      </w:r>
      <w:r w:rsidR="00A546D4">
        <w:t xml:space="preserve"> </w:t>
      </w:r>
    </w:p>
    <w:p w:rsidR="00455C2D" w:rsidRDefault="00B46A06" w:rsidP="00F24A99">
      <w:pPr>
        <w:pStyle w:val="Heading3"/>
      </w:pPr>
      <w:r>
        <w:t xml:space="preserve">FSA2: </w:t>
      </w:r>
      <w:r w:rsidR="00864084" w:rsidRPr="00F56E9F">
        <w:t xml:space="preserve">Extracting </w:t>
      </w:r>
      <w:r w:rsidR="00F4761E">
        <w:t>data needed to forecast enterprise cash flows</w:t>
      </w:r>
    </w:p>
    <w:p w:rsidR="00D4102B" w:rsidRPr="00D4102B" w:rsidRDefault="00D4102B" w:rsidP="00D4102B">
      <w:pPr>
        <w:pStyle w:val="BodyText"/>
      </w:pPr>
      <w:r>
        <w:t>FSA1 and VAL1 highlight that margins, growth, and net enterprise asset intensity drive enterprise cash flows. This spreadsheet computes these drivers for historical financial statements</w:t>
      </w:r>
      <w:r w:rsidR="00D47F7A">
        <w:t>. Historical values</w:t>
      </w:r>
      <w:r>
        <w:t xml:space="preserve"> are a starting point for forecasting these drivers going forward.</w:t>
      </w:r>
    </w:p>
    <w:p w:rsidR="0073596D" w:rsidRDefault="0073596D" w:rsidP="0073596D">
      <w:pPr>
        <w:pStyle w:val="BodyText"/>
      </w:pPr>
      <w:r>
        <w:t>This spreadsheet does the following:</w:t>
      </w:r>
    </w:p>
    <w:p w:rsidR="000A1467" w:rsidRDefault="000A1467" w:rsidP="000A1467">
      <w:pPr>
        <w:pStyle w:val="BodyText"/>
        <w:numPr>
          <w:ilvl w:val="0"/>
          <w:numId w:val="11"/>
        </w:numPr>
      </w:pPr>
      <w:r>
        <w:t>S</w:t>
      </w:r>
      <w:r w:rsidR="00F4761E">
        <w:t>eparat</w:t>
      </w:r>
      <w:r>
        <w:t>es</w:t>
      </w:r>
      <w:r w:rsidR="00F4761E">
        <w:t xml:space="preserve"> </w:t>
      </w:r>
      <w:r w:rsidR="00F4761E" w:rsidRPr="00A520A5">
        <w:t xml:space="preserve">recurring </w:t>
      </w:r>
      <w:r w:rsidR="00F4761E">
        <w:t xml:space="preserve">items from </w:t>
      </w:r>
      <w:r w:rsidR="00F4761E" w:rsidRPr="00A520A5">
        <w:t xml:space="preserve">non-recurring </w:t>
      </w:r>
      <w:r w:rsidR="00F4761E">
        <w:t>items and primary activities from secondary activities</w:t>
      </w:r>
      <w:r>
        <w:t>.</w:t>
      </w:r>
    </w:p>
    <w:p w:rsidR="000A1467" w:rsidRDefault="000A1467" w:rsidP="000A1467">
      <w:pPr>
        <w:pStyle w:val="BodyText"/>
        <w:numPr>
          <w:ilvl w:val="0"/>
          <w:numId w:val="11"/>
        </w:numPr>
      </w:pPr>
      <w:r>
        <w:t>C</w:t>
      </w:r>
      <w:r w:rsidR="00F4761E">
        <w:t>omputes the primary and secondary enterprise profit margin, and their related tax rates. These margins and tax rates are key input</w:t>
      </w:r>
      <w:r w:rsidR="006D4541">
        <w:t>s</w:t>
      </w:r>
      <w:r w:rsidR="00F4761E">
        <w:t xml:space="preserve"> </w:t>
      </w:r>
      <w:r w:rsidR="00A34FFB">
        <w:t>in the</w:t>
      </w:r>
      <w:r w:rsidR="00F4761E">
        <w:t xml:space="preserve"> forecasting </w:t>
      </w:r>
      <w:r w:rsidR="00A34FFB">
        <w:t xml:space="preserve">of </w:t>
      </w:r>
      <w:r w:rsidR="00F4761E">
        <w:t xml:space="preserve">enterprise profit after tax. </w:t>
      </w:r>
    </w:p>
    <w:p w:rsidR="000A1467" w:rsidRDefault="000A1467" w:rsidP="000A1467">
      <w:pPr>
        <w:pStyle w:val="BodyText"/>
        <w:numPr>
          <w:ilvl w:val="0"/>
          <w:numId w:val="11"/>
        </w:numPr>
      </w:pPr>
      <w:r>
        <w:t>C</w:t>
      </w:r>
      <w:r w:rsidR="00F4761E">
        <w:t>omputes the net enterprise assets needed</w:t>
      </w:r>
      <w:r>
        <w:t xml:space="preserve"> relative to sales</w:t>
      </w:r>
      <w:r w:rsidR="00F4761E">
        <w:t xml:space="preserve"> </w:t>
      </w:r>
      <w:r>
        <w:t>from</w:t>
      </w:r>
      <w:r w:rsidR="00F4761E">
        <w:t xml:space="preserve"> primary activities</w:t>
      </w:r>
      <w:r>
        <w:t>.  The ratio of enterprise profits after tax to n</w:t>
      </w:r>
      <w:r w:rsidR="00F1590B">
        <w:t>et enterprise assets yields RNEA</w:t>
      </w:r>
      <w:r>
        <w:t xml:space="preserve"> or ROIC.</w:t>
      </w:r>
    </w:p>
    <w:p w:rsidR="00F56E9F" w:rsidRDefault="000A1467" w:rsidP="000A1467">
      <w:pPr>
        <w:pStyle w:val="BodyText"/>
        <w:numPr>
          <w:ilvl w:val="0"/>
          <w:numId w:val="11"/>
        </w:numPr>
      </w:pPr>
      <w:r>
        <w:t>C</w:t>
      </w:r>
      <w:r w:rsidR="00F4761E">
        <w:t xml:space="preserve">omputes the </w:t>
      </w:r>
      <w:r w:rsidR="008C3AB6">
        <w:t xml:space="preserve">growth rate in </w:t>
      </w:r>
      <w:r w:rsidR="00F4761E">
        <w:t xml:space="preserve">sales and compares it to </w:t>
      </w:r>
      <w:r w:rsidR="008C3AB6">
        <w:t xml:space="preserve">the growth rate in </w:t>
      </w:r>
      <w:r w:rsidR="00F4761E">
        <w:t>enterprise profit</w:t>
      </w:r>
      <w:r w:rsidR="008C3AB6">
        <w:t>s.</w:t>
      </w:r>
    </w:p>
    <w:p w:rsidR="00BA4556" w:rsidRDefault="00BA4556" w:rsidP="00F24A99">
      <w:pPr>
        <w:pStyle w:val="Heading3"/>
      </w:pPr>
      <w:r>
        <w:t xml:space="preserve">FSA3: </w:t>
      </w:r>
      <w:r w:rsidR="00A02BD1">
        <w:t>Historical L</w:t>
      </w:r>
      <w:r w:rsidRPr="001D43CE">
        <w:t>ong-run Return on Equity and IRR</w:t>
      </w:r>
    </w:p>
    <w:p w:rsidR="0073596D" w:rsidRDefault="006F7D69" w:rsidP="0073596D">
      <w:pPr>
        <w:pStyle w:val="BodyText"/>
      </w:pPr>
      <w:r>
        <w:t>Short-term metrics such as ROE are sensitive to accounting idiosyncrasies</w:t>
      </w:r>
      <w:r w:rsidR="00885872">
        <w:t>, which diminishes their usefulness as performance benchmarks. This spreadsheet develops long-run ROE and ROIC measures to remedy these problems. Specifically, t</w:t>
      </w:r>
      <w:r w:rsidR="0073596D">
        <w:t>his spreadsheet does the following:</w:t>
      </w:r>
    </w:p>
    <w:p w:rsidR="0055731C" w:rsidRDefault="0055731C" w:rsidP="00C5202F">
      <w:pPr>
        <w:pStyle w:val="BodyText"/>
        <w:numPr>
          <w:ilvl w:val="0"/>
          <w:numId w:val="11"/>
        </w:numPr>
      </w:pPr>
      <w:r>
        <w:t xml:space="preserve">Shows how to compute historical ROE over multiple periods. This </w:t>
      </w:r>
      <w:r w:rsidR="006F66BE" w:rsidRPr="006F66BE">
        <w:t xml:space="preserve">multi-period </w:t>
      </w:r>
      <w:r>
        <w:t xml:space="preserve">ROE </w:t>
      </w:r>
      <w:r w:rsidR="006F66BE" w:rsidRPr="006F66BE">
        <w:t xml:space="preserve">is less sensitive to accounting idiosyncrasies compared to annual ROE, and thus </w:t>
      </w:r>
      <w:r>
        <w:t xml:space="preserve">is a better </w:t>
      </w:r>
      <w:r w:rsidR="006F66BE" w:rsidRPr="006F66BE">
        <w:t>predictor of future ROE.</w:t>
      </w:r>
    </w:p>
    <w:p w:rsidR="00B92F41" w:rsidRDefault="002047BE" w:rsidP="00C5202F">
      <w:pPr>
        <w:pStyle w:val="BodyText"/>
        <w:numPr>
          <w:ilvl w:val="0"/>
          <w:numId w:val="11"/>
        </w:numPr>
      </w:pPr>
      <w:r>
        <w:t>C</w:t>
      </w:r>
      <w:r w:rsidR="006F66BE" w:rsidRPr="006F66BE">
        <w:t xml:space="preserve">ompares this </w:t>
      </w:r>
      <w:r>
        <w:t xml:space="preserve">multi-period historical </w:t>
      </w:r>
      <w:r w:rsidR="006F66BE" w:rsidRPr="006F66BE">
        <w:t xml:space="preserve">ROE to historical IRR, which </w:t>
      </w:r>
      <w:r>
        <w:t xml:space="preserve">is </w:t>
      </w:r>
      <w:r w:rsidR="00223A15">
        <w:t>a market-value based</w:t>
      </w:r>
      <w:r>
        <w:t xml:space="preserve"> measure of historical performance over multiple periods</w:t>
      </w:r>
      <w:r w:rsidR="006F66BE" w:rsidRPr="006F66BE">
        <w:t xml:space="preserve">. </w:t>
      </w:r>
    </w:p>
    <w:p w:rsidR="00BA4556" w:rsidRPr="00687418" w:rsidRDefault="006F66BE" w:rsidP="00C5202F">
      <w:pPr>
        <w:pStyle w:val="BodyText"/>
        <w:numPr>
          <w:ilvl w:val="0"/>
          <w:numId w:val="11"/>
        </w:numPr>
      </w:pPr>
      <w:r w:rsidRPr="006F66BE">
        <w:t xml:space="preserve">A separate </w:t>
      </w:r>
      <w:r w:rsidR="00DC56EE">
        <w:t>spreadsheet</w:t>
      </w:r>
      <w:r w:rsidRPr="006F66BE">
        <w:t xml:space="preserve"> shifts the analysis to the enterprise level and </w:t>
      </w:r>
      <w:r w:rsidR="005E53AD">
        <w:t>shows how to compute historical multi-period ROIC and unleveraged internal rate of return</w:t>
      </w:r>
      <w:r w:rsidR="00687418" w:rsidRPr="00687418">
        <w:t>.</w:t>
      </w:r>
    </w:p>
    <w:p w:rsidR="00BA4556" w:rsidRDefault="00BA4556" w:rsidP="00F24A99">
      <w:pPr>
        <w:pStyle w:val="Heading3"/>
      </w:pPr>
      <w:r>
        <w:t>FSA4: Adjusted Cash Earnings (ACE)</w:t>
      </w:r>
    </w:p>
    <w:p w:rsidR="00485A4C" w:rsidRDefault="0059290E" w:rsidP="00485A4C">
      <w:pPr>
        <w:pStyle w:val="BodyText"/>
      </w:pPr>
      <w:r>
        <w:t xml:space="preserve">This spreadsheet develops a new measure of earnings, which we call Adjusted Cash Earnings (ACE). </w:t>
      </w:r>
      <w:r w:rsidR="00A34FFB">
        <w:t xml:space="preserve">The difference between reported earnings and ACE measures the potential bias in reported earnings.  A positive </w:t>
      </w:r>
      <w:r w:rsidR="00A44944">
        <w:t>bias</w:t>
      </w:r>
      <w:r>
        <w:t xml:space="preserve"> </w:t>
      </w:r>
      <w:r w:rsidR="003D4C83">
        <w:t>predicts</w:t>
      </w:r>
      <w:r>
        <w:t xml:space="preserve"> </w:t>
      </w:r>
      <w:r w:rsidR="00A34FFB">
        <w:t>a decline in future profit margin</w:t>
      </w:r>
      <w:r>
        <w:t xml:space="preserve">, and vice versa. </w:t>
      </w:r>
      <w:r w:rsidR="00640217">
        <w:t>Specifically, t</w:t>
      </w:r>
      <w:r w:rsidR="00485A4C">
        <w:t>h</w:t>
      </w:r>
      <w:r w:rsidR="00640217">
        <w:t xml:space="preserve">e </w:t>
      </w:r>
      <w:r w:rsidR="00485A4C">
        <w:t>spreadsheet does the following:</w:t>
      </w:r>
    </w:p>
    <w:p w:rsidR="0059290E" w:rsidRDefault="0059290E" w:rsidP="00C5202F">
      <w:pPr>
        <w:pStyle w:val="BodyText"/>
        <w:numPr>
          <w:ilvl w:val="0"/>
          <w:numId w:val="11"/>
        </w:numPr>
      </w:pPr>
      <w:r>
        <w:t xml:space="preserve">Defines hard assets and hard liabilities. </w:t>
      </w:r>
      <w:r w:rsidR="003D4C83">
        <w:t xml:space="preserve">Some </w:t>
      </w:r>
      <w:r w:rsidR="00F75180">
        <w:t xml:space="preserve">assets and liabilities are “hard” in the sense that they are objectively measurable, while others are “soft” in the sense that their valuation requires judgments. </w:t>
      </w:r>
      <w:r w:rsidR="00375161">
        <w:t xml:space="preserve">Examples of hard items are cash and marketable securities, and short-duration accounts receivables and payables. </w:t>
      </w:r>
      <w:r w:rsidR="00F75180">
        <w:t xml:space="preserve">Examples of soft items are </w:t>
      </w:r>
      <w:r w:rsidR="00B7325E">
        <w:t xml:space="preserve">inventories, PP&amp;E, intangible assets, deferred taxes, reserves and allowances, and deferred revenues. </w:t>
      </w:r>
    </w:p>
    <w:p w:rsidR="0059290E" w:rsidRDefault="00375161" w:rsidP="00DC56EE">
      <w:pPr>
        <w:pStyle w:val="Left1"/>
      </w:pPr>
      <w:r>
        <w:t xml:space="preserve">The susceptibility of accounting income to </w:t>
      </w:r>
      <w:r w:rsidR="00A546D4">
        <w:t xml:space="preserve">the measurement errors in </w:t>
      </w:r>
      <w:r>
        <w:t xml:space="preserve">these “soft” items has led </w:t>
      </w:r>
      <w:r w:rsidR="00A10C8B">
        <w:t>some</w:t>
      </w:r>
      <w:r>
        <w:t xml:space="preserve"> to ignore ALL accounting accruals and focus </w:t>
      </w:r>
      <w:r w:rsidR="00966767">
        <w:t xml:space="preserve">just </w:t>
      </w:r>
      <w:r>
        <w:t>on cash. They define cash earnings as chan</w:t>
      </w:r>
      <w:r w:rsidR="003D4C83">
        <w:t xml:space="preserve">ge in cash minus net dividends. This </w:t>
      </w:r>
      <w:r w:rsidR="00966767">
        <w:t xml:space="preserve">view is too narrow and misses the reality that </w:t>
      </w:r>
      <w:r w:rsidR="003D4C83">
        <w:t>many</w:t>
      </w:r>
      <w:r w:rsidR="00966767">
        <w:t xml:space="preserve"> items on the balance sheet are as hard as cash.</w:t>
      </w:r>
    </w:p>
    <w:p w:rsidR="00DC56EE" w:rsidRDefault="00DC56EE" w:rsidP="00DC56EE">
      <w:pPr>
        <w:pStyle w:val="6pointSpacer"/>
      </w:pPr>
    </w:p>
    <w:p w:rsidR="00DC56EE" w:rsidRDefault="00DC56EE" w:rsidP="00C5202F">
      <w:pPr>
        <w:pStyle w:val="BodyText"/>
        <w:numPr>
          <w:ilvl w:val="0"/>
          <w:numId w:val="11"/>
        </w:numPr>
      </w:pPr>
      <w:r>
        <w:t xml:space="preserve">Derive hard earnings: </w:t>
      </w:r>
      <w:r w:rsidR="00966767">
        <w:t>We</w:t>
      </w:r>
      <w:r w:rsidR="00F75180">
        <w:t xml:space="preserve"> define “hard” equity as “hard” assets minus “hard” liabilities. </w:t>
      </w:r>
      <w:r w:rsidR="00966767">
        <w:t xml:space="preserve">We define hard earnings as change in hard equity minus net dividends. </w:t>
      </w:r>
    </w:p>
    <w:p w:rsidR="00BA4556" w:rsidRDefault="00DC56EE" w:rsidP="00C5202F">
      <w:pPr>
        <w:pStyle w:val="BodyText"/>
        <w:numPr>
          <w:ilvl w:val="0"/>
          <w:numId w:val="11"/>
        </w:numPr>
      </w:pPr>
      <w:r>
        <w:t xml:space="preserve">Derive adjusted hard earnings, which we call Adjusted Cash Earnings: </w:t>
      </w:r>
      <w:r w:rsidR="00CB5488">
        <w:t>Considering</w:t>
      </w:r>
      <w:r w:rsidR="00966767">
        <w:t xml:space="preserve"> changes in </w:t>
      </w:r>
      <w:r w:rsidR="00CB5488">
        <w:t xml:space="preserve">only </w:t>
      </w:r>
      <w:r w:rsidR="00966767">
        <w:t xml:space="preserve">the hard equity </w:t>
      </w:r>
      <w:r w:rsidR="00A10C8B">
        <w:t>is</w:t>
      </w:r>
      <w:r w:rsidR="00966767">
        <w:t xml:space="preserve"> too narrow especially for growth firms. The soft equity, which is difference between reported equity and hard equity, grow</w:t>
      </w:r>
      <w:r w:rsidR="00CB5488">
        <w:t>s</w:t>
      </w:r>
      <w:r w:rsidR="00966767">
        <w:t xml:space="preserve"> with sales.</w:t>
      </w:r>
      <w:r>
        <w:t xml:space="preserve"> </w:t>
      </w:r>
      <w:r w:rsidR="00966767">
        <w:t xml:space="preserve">We therefore </w:t>
      </w:r>
      <w:r w:rsidR="00D2543B">
        <w:t xml:space="preserve">define adjusted hard earnings as hard earnings plus growth in soft equity </w:t>
      </w:r>
      <w:r w:rsidR="00CB5488">
        <w:t xml:space="preserve">in proportion to </w:t>
      </w:r>
      <w:r w:rsidR="00D2543B">
        <w:t xml:space="preserve">sales growth. </w:t>
      </w:r>
      <w:r w:rsidR="00BA4556">
        <w:t xml:space="preserve">We call </w:t>
      </w:r>
      <w:r w:rsidR="00D2543B">
        <w:t xml:space="preserve">these adjusted hard earnings as </w:t>
      </w:r>
      <w:r w:rsidR="0048634C">
        <w:t>Adjusted Cash E</w:t>
      </w:r>
      <w:r w:rsidR="00BA4556">
        <w:t>arnings</w:t>
      </w:r>
      <w:r w:rsidR="00D2543B">
        <w:t xml:space="preserve"> to connect with the use of the term Cash Earnings in the real world</w:t>
      </w:r>
      <w:r w:rsidR="00BA4556">
        <w:t>.</w:t>
      </w:r>
    </w:p>
    <w:p w:rsidR="00A546D4" w:rsidRDefault="00A546D4" w:rsidP="00A546D4">
      <w:pPr>
        <w:pStyle w:val="Heading2"/>
      </w:pPr>
      <w:r>
        <w:t>The three remaining valuation spreadsheets</w:t>
      </w:r>
    </w:p>
    <w:p w:rsidR="00A546D4" w:rsidRDefault="00A546D4" w:rsidP="00A546D4">
      <w:pPr>
        <w:pStyle w:val="BodyText"/>
      </w:pPr>
      <w:r w:rsidRPr="00D43F32">
        <w:t>Following VAL1 (and FSA1), the remaining valuation spreadsheets (2-4) are essentially self-contained. However</w:t>
      </w:r>
      <w:r>
        <w:t>,</w:t>
      </w:r>
      <w:r w:rsidRPr="00D43F32">
        <w:t xml:space="preserve"> we recommend that they </w:t>
      </w:r>
      <w:r>
        <w:t>be</w:t>
      </w:r>
      <w:r w:rsidRPr="00D43F32">
        <w:t xml:space="preserve"> read in order.</w:t>
      </w:r>
    </w:p>
    <w:p w:rsidR="00F01AEB" w:rsidRDefault="00AC0A1A" w:rsidP="00F24A99">
      <w:pPr>
        <w:pStyle w:val="Heading3"/>
      </w:pPr>
      <w:r>
        <w:t xml:space="preserve">VAL2: </w:t>
      </w:r>
      <w:r w:rsidR="000902A8">
        <w:t>Valuation</w:t>
      </w:r>
      <w:r w:rsidR="007A2E79">
        <w:t xml:space="preserve"> anchored on </w:t>
      </w:r>
      <w:r w:rsidR="000902A8">
        <w:t>d</w:t>
      </w:r>
      <w:r w:rsidR="00864084">
        <w:t>ividends, book values, and earnings</w:t>
      </w:r>
    </w:p>
    <w:p w:rsidR="00706553" w:rsidRDefault="00D4102B" w:rsidP="00706553">
      <w:pPr>
        <w:pStyle w:val="BodyText"/>
      </w:pPr>
      <w:r>
        <w:t xml:space="preserve">Many valuation </w:t>
      </w:r>
      <w:r w:rsidR="008F4B4C">
        <w:t>approaches</w:t>
      </w:r>
      <w:r>
        <w:t xml:space="preserve"> are often used in practice. This spreadsheet shows the conceptual equivalence of these approaches. It then explains why different equivalent approaches are still useful </w:t>
      </w:r>
      <w:r w:rsidR="008F4B4C">
        <w:t>by showing how</w:t>
      </w:r>
      <w:r>
        <w:t xml:space="preserve"> each approach connects with a popular valuation metrics such as the dividend yield, market to book ratio, and the P/E ratio. Specifically, t</w:t>
      </w:r>
      <w:r w:rsidR="00706553">
        <w:t>his spreadsheet does the following:</w:t>
      </w:r>
    </w:p>
    <w:p w:rsidR="00B51CA9" w:rsidRDefault="00B51CA9" w:rsidP="00C5202F">
      <w:pPr>
        <w:pStyle w:val="BodyText"/>
        <w:numPr>
          <w:ilvl w:val="0"/>
          <w:numId w:val="11"/>
        </w:numPr>
      </w:pPr>
      <w:r>
        <w:t>Describes the three transformations of the dividend discount model (DDM). These three transformations are the dividend growth model, book value growth model</w:t>
      </w:r>
      <w:r w:rsidR="00D560B2">
        <w:t xml:space="preserve"> (aka RIV), and earnings growth model (aka AEG).</w:t>
      </w:r>
    </w:p>
    <w:p w:rsidR="00B51CA9" w:rsidRDefault="00B51CA9" w:rsidP="00C5202F">
      <w:pPr>
        <w:pStyle w:val="BodyText"/>
        <w:numPr>
          <w:ilvl w:val="0"/>
          <w:numId w:val="11"/>
        </w:numPr>
      </w:pPr>
      <w:r>
        <w:t>Demonstrates the equivalence of these three transformations for equity valuation.</w:t>
      </w:r>
    </w:p>
    <w:p w:rsidR="008D7BA4" w:rsidRDefault="00B51CA9" w:rsidP="00C5202F">
      <w:pPr>
        <w:pStyle w:val="BodyText"/>
        <w:numPr>
          <w:ilvl w:val="0"/>
          <w:numId w:val="11"/>
        </w:numPr>
      </w:pPr>
      <w:r>
        <w:t xml:space="preserve">Explains </w:t>
      </w:r>
      <w:r w:rsidR="008A2112">
        <w:t>how these transformations</w:t>
      </w:r>
      <w:r>
        <w:t xml:space="preserve"> explain the drivers of the three valuation metrics used in practice – dividend yield, price to book ratio, and price to earnings ratio. </w:t>
      </w:r>
    </w:p>
    <w:p w:rsidR="00B51CA9" w:rsidRPr="00D90FC2" w:rsidRDefault="00A0608C" w:rsidP="00C5202F">
      <w:pPr>
        <w:pStyle w:val="BodyText"/>
        <w:numPr>
          <w:ilvl w:val="0"/>
          <w:numId w:val="11"/>
        </w:numPr>
      </w:pPr>
      <w:r>
        <w:t>A separate spreadsheet</w:t>
      </w:r>
      <w:r w:rsidR="00B51CA9">
        <w:t xml:space="preserve"> provide</w:t>
      </w:r>
      <w:r>
        <w:t>s</w:t>
      </w:r>
      <w:r w:rsidR="00B51CA9">
        <w:t xml:space="preserve"> an enterprise-level version of VAL2.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2"/>
        <w:gridCol w:w="3578"/>
        <w:gridCol w:w="3451"/>
      </w:tblGrid>
      <w:tr w:rsidR="002D2ED7" w:rsidTr="00A879A7">
        <w:trPr>
          <w:cantSplit/>
        </w:trPr>
        <w:tc>
          <w:tcPr>
            <w:tcW w:w="0" w:type="auto"/>
            <w:shd w:val="clear" w:color="auto" w:fill="CCECFF"/>
          </w:tcPr>
          <w:p w:rsidR="002D2ED7" w:rsidRDefault="004C32EF" w:rsidP="00F11021">
            <w:pPr>
              <w:pStyle w:val="TableLeftText"/>
              <w:keepNext/>
            </w:pPr>
            <w:r>
              <w:t>Transformation of DDM</w:t>
            </w:r>
          </w:p>
        </w:tc>
        <w:tc>
          <w:tcPr>
            <w:tcW w:w="0" w:type="auto"/>
            <w:shd w:val="clear" w:color="auto" w:fill="CCECFF"/>
          </w:tcPr>
          <w:p w:rsidR="002D2ED7" w:rsidRDefault="00FE1208" w:rsidP="00A879A7">
            <w:pPr>
              <w:pStyle w:val="TableLeftText"/>
              <w:keepNext/>
            </w:pPr>
            <w:r>
              <w:t>Valuation metric used by practitioners</w:t>
            </w:r>
          </w:p>
        </w:tc>
        <w:tc>
          <w:tcPr>
            <w:tcW w:w="0" w:type="auto"/>
            <w:shd w:val="clear" w:color="auto" w:fill="CCECFF"/>
          </w:tcPr>
          <w:p w:rsidR="002D2ED7" w:rsidRDefault="002D2ED7" w:rsidP="00F11021">
            <w:pPr>
              <w:pStyle w:val="TableLeftText"/>
              <w:keepNext/>
            </w:pPr>
            <w:r>
              <w:t>Anchor</w:t>
            </w:r>
            <w:r w:rsidR="00FE1208">
              <w:t>: Starting point in valuation</w:t>
            </w:r>
          </w:p>
        </w:tc>
      </w:tr>
      <w:tr w:rsidR="002D2ED7" w:rsidTr="00A879A7">
        <w:trPr>
          <w:cantSplit/>
        </w:trPr>
        <w:tc>
          <w:tcPr>
            <w:tcW w:w="0" w:type="auto"/>
          </w:tcPr>
          <w:p w:rsidR="002D2ED7" w:rsidRDefault="002D2ED7" w:rsidP="00F11021">
            <w:pPr>
              <w:pStyle w:val="TableLeftText"/>
              <w:keepNext/>
            </w:pPr>
            <w:r>
              <w:t>Dividend growth model</w:t>
            </w:r>
          </w:p>
        </w:tc>
        <w:tc>
          <w:tcPr>
            <w:tcW w:w="0" w:type="auto"/>
          </w:tcPr>
          <w:p w:rsidR="002D2ED7" w:rsidRDefault="002D2ED7" w:rsidP="00A879A7">
            <w:pPr>
              <w:pStyle w:val="TableLeftText"/>
              <w:keepNext/>
            </w:pPr>
            <w:r>
              <w:t>Dividend yield</w:t>
            </w:r>
          </w:p>
        </w:tc>
        <w:tc>
          <w:tcPr>
            <w:tcW w:w="0" w:type="auto"/>
          </w:tcPr>
          <w:p w:rsidR="002D2ED7" w:rsidRDefault="002D2ED7" w:rsidP="00F11021">
            <w:pPr>
              <w:pStyle w:val="TableLeftText"/>
              <w:keepNext/>
            </w:pPr>
            <w:r>
              <w:t>Forthcoming dividend/cost of equity</w:t>
            </w:r>
          </w:p>
        </w:tc>
      </w:tr>
      <w:tr w:rsidR="002D2ED7" w:rsidTr="00A879A7">
        <w:trPr>
          <w:cantSplit/>
        </w:trPr>
        <w:tc>
          <w:tcPr>
            <w:tcW w:w="0" w:type="auto"/>
          </w:tcPr>
          <w:p w:rsidR="002D2ED7" w:rsidRDefault="002D2ED7" w:rsidP="00F11021">
            <w:pPr>
              <w:pStyle w:val="TableLeftText"/>
              <w:keepNext/>
            </w:pPr>
            <w:r>
              <w:t>Book value growth model</w:t>
            </w:r>
          </w:p>
        </w:tc>
        <w:tc>
          <w:tcPr>
            <w:tcW w:w="0" w:type="auto"/>
          </w:tcPr>
          <w:p w:rsidR="002D2ED7" w:rsidRDefault="002D2ED7" w:rsidP="00A879A7">
            <w:pPr>
              <w:pStyle w:val="TableLeftText"/>
              <w:keepNext/>
            </w:pPr>
            <w:r>
              <w:t>Price to book ratio</w:t>
            </w:r>
          </w:p>
        </w:tc>
        <w:tc>
          <w:tcPr>
            <w:tcW w:w="0" w:type="auto"/>
          </w:tcPr>
          <w:p w:rsidR="002D2ED7" w:rsidRDefault="002D2ED7" w:rsidP="00F11021">
            <w:pPr>
              <w:pStyle w:val="TableLeftText"/>
              <w:keepNext/>
            </w:pPr>
            <w:r>
              <w:t>Current book value</w:t>
            </w:r>
          </w:p>
        </w:tc>
      </w:tr>
      <w:tr w:rsidR="002D2ED7" w:rsidTr="00A879A7">
        <w:trPr>
          <w:cantSplit/>
        </w:trPr>
        <w:tc>
          <w:tcPr>
            <w:tcW w:w="0" w:type="auto"/>
          </w:tcPr>
          <w:p w:rsidR="002D2ED7" w:rsidRDefault="002D2ED7" w:rsidP="00F11021">
            <w:pPr>
              <w:pStyle w:val="TableLeftText"/>
            </w:pPr>
            <w:r>
              <w:t>Earnings growth model</w:t>
            </w:r>
          </w:p>
        </w:tc>
        <w:tc>
          <w:tcPr>
            <w:tcW w:w="0" w:type="auto"/>
          </w:tcPr>
          <w:p w:rsidR="002D2ED7" w:rsidRDefault="002D2ED7" w:rsidP="00A879A7">
            <w:pPr>
              <w:pStyle w:val="TableLeftText"/>
            </w:pPr>
            <w:r>
              <w:t>Price to forthcoming earnings ratio</w:t>
            </w:r>
          </w:p>
        </w:tc>
        <w:tc>
          <w:tcPr>
            <w:tcW w:w="0" w:type="auto"/>
          </w:tcPr>
          <w:p w:rsidR="002D2ED7" w:rsidRDefault="002D2ED7" w:rsidP="00F11021">
            <w:pPr>
              <w:pStyle w:val="TableLeftText"/>
            </w:pPr>
            <w:r>
              <w:t>Forthcoming earnings/cost of equity</w:t>
            </w:r>
          </w:p>
        </w:tc>
      </w:tr>
    </w:tbl>
    <w:p w:rsidR="006E3107" w:rsidRDefault="00A14981" w:rsidP="000A2812">
      <w:pPr>
        <w:pStyle w:val="Heading3"/>
      </w:pPr>
      <w:r>
        <w:t>VAL3</w:t>
      </w:r>
      <w:r w:rsidR="006E3107">
        <w:t xml:space="preserve">: </w:t>
      </w:r>
      <w:r w:rsidR="006E3107" w:rsidRPr="0061761B">
        <w:t>Adjust</w:t>
      </w:r>
      <w:r w:rsidR="00F3119E">
        <w:t>ed</w:t>
      </w:r>
      <w:r w:rsidR="006E3107" w:rsidRPr="0061761B">
        <w:t xml:space="preserve"> analyst forecasts</w:t>
      </w:r>
    </w:p>
    <w:p w:rsidR="00F13309" w:rsidRDefault="006F7D69" w:rsidP="00F13309">
      <w:pPr>
        <w:pStyle w:val="BodyText"/>
      </w:pPr>
      <w:r>
        <w:t>Analyst forecasts can be optimistic. This spreadsheet shows how the analyst forecasts can be adjusted to correct for some of the common biases. Specifically, t</w:t>
      </w:r>
      <w:r w:rsidR="00F13309">
        <w:t>his spreadsheet does the following:</w:t>
      </w:r>
    </w:p>
    <w:p w:rsidR="00465B55" w:rsidRDefault="00465B55" w:rsidP="00C5202F">
      <w:pPr>
        <w:pStyle w:val="BodyText"/>
        <w:numPr>
          <w:ilvl w:val="0"/>
          <w:numId w:val="11"/>
        </w:numPr>
      </w:pPr>
      <w:r>
        <w:t>A</w:t>
      </w:r>
      <w:r w:rsidR="006E3107">
        <w:t>djust</w:t>
      </w:r>
      <w:r>
        <w:t>s</w:t>
      </w:r>
      <w:r w:rsidR="006E3107">
        <w:t xml:space="preserve"> analyst forecasts by removing expectations of margin expansion. Such adjustments are useful if one considers margin expansion to be optimistic. </w:t>
      </w:r>
    </w:p>
    <w:p w:rsidR="006E3107" w:rsidRDefault="00465B55" w:rsidP="00C5202F">
      <w:pPr>
        <w:pStyle w:val="BodyText"/>
        <w:numPr>
          <w:ilvl w:val="0"/>
          <w:numId w:val="11"/>
        </w:numPr>
      </w:pPr>
      <w:r>
        <w:t>A</w:t>
      </w:r>
      <w:r w:rsidR="006E3107">
        <w:t>djusts earnings growth for earnings foregone on dividends paid. This adjustment facilitates the comparison of earnings growth across firms.</w:t>
      </w:r>
    </w:p>
    <w:p w:rsidR="00A14981" w:rsidRDefault="00A14981" w:rsidP="00A14981">
      <w:pPr>
        <w:pStyle w:val="Heading3"/>
      </w:pPr>
      <w:r>
        <w:t xml:space="preserve">VAL4: </w:t>
      </w:r>
      <w:r w:rsidR="00757BF1">
        <w:t>Excess Implied Return (EIR)</w:t>
      </w:r>
    </w:p>
    <w:p w:rsidR="00F13309" w:rsidRDefault="00A14981" w:rsidP="00F13309">
      <w:pPr>
        <w:pStyle w:val="BodyText"/>
      </w:pPr>
      <w:r w:rsidRPr="00524E87">
        <w:t xml:space="preserve">This spreadsheet </w:t>
      </w:r>
      <w:r>
        <w:t xml:space="preserve">develops a screen to identify </w:t>
      </w:r>
      <w:r w:rsidRPr="00524E87">
        <w:t xml:space="preserve">stocks that </w:t>
      </w:r>
      <w:r>
        <w:t xml:space="preserve">appear mispriced considering their risk. </w:t>
      </w:r>
      <w:r w:rsidR="00450744">
        <w:t xml:space="preserve">It </w:t>
      </w:r>
      <w:r w:rsidR="00F13309">
        <w:t>does the following:</w:t>
      </w:r>
    </w:p>
    <w:p w:rsidR="00A14981" w:rsidRDefault="00A14981" w:rsidP="00A14981">
      <w:pPr>
        <w:pStyle w:val="BodyText"/>
        <w:numPr>
          <w:ilvl w:val="0"/>
          <w:numId w:val="11"/>
        </w:numPr>
      </w:pPr>
      <w:r>
        <w:t>Infer</w:t>
      </w:r>
      <w:r w:rsidRPr="00524E87">
        <w:t xml:space="preserve"> the implied </w:t>
      </w:r>
      <w:r w:rsidR="00757BF1">
        <w:t>return</w:t>
      </w:r>
      <w:r w:rsidRPr="00524E87">
        <w:t xml:space="preserve"> </w:t>
      </w:r>
      <w:r w:rsidR="00FD0ECC">
        <w:t>from</w:t>
      </w:r>
      <w:r w:rsidRPr="00524E87">
        <w:t xml:space="preserve"> the </w:t>
      </w:r>
      <w:r>
        <w:t xml:space="preserve">current stock price and </w:t>
      </w:r>
      <w:r w:rsidRPr="00524E87">
        <w:t>earnings forecasts.</w:t>
      </w:r>
      <w:r>
        <w:t xml:space="preserve"> The implied </w:t>
      </w:r>
      <w:r w:rsidR="00757BF1">
        <w:t>return</w:t>
      </w:r>
      <w:r>
        <w:t xml:space="preserve"> is the d</w:t>
      </w:r>
      <w:r w:rsidRPr="00847869">
        <w:t xml:space="preserve">iscount </w:t>
      </w:r>
      <w:r>
        <w:t>rate</w:t>
      </w:r>
      <w:r w:rsidRPr="00847869">
        <w:t xml:space="preserve"> </w:t>
      </w:r>
      <w:r>
        <w:t xml:space="preserve">that makes the present value of expected future financial outcomes equal to the </w:t>
      </w:r>
      <w:r w:rsidRPr="00847869">
        <w:t>current stock price</w:t>
      </w:r>
      <w:r>
        <w:t xml:space="preserve">. Thus, the implied </w:t>
      </w:r>
      <w:r w:rsidR="00757BF1">
        <w:t>return</w:t>
      </w:r>
      <w:r>
        <w:t xml:space="preserve"> is an IRR</w:t>
      </w:r>
      <w:r w:rsidR="00832720">
        <w:t xml:space="preserve"> that measures </w:t>
      </w:r>
      <w:r w:rsidRPr="00524E87">
        <w:t xml:space="preserve">expected return. </w:t>
      </w:r>
      <w:r w:rsidR="00BD20D3">
        <w:t xml:space="preserve">Our approach differs from the traditional </w:t>
      </w:r>
      <w:r w:rsidR="00CE092E">
        <w:t>one</w:t>
      </w:r>
      <w:r w:rsidR="00BD20D3">
        <w:t xml:space="preserve"> in the following way</w:t>
      </w:r>
      <w:r w:rsidR="00CE092E">
        <w:t>s</w:t>
      </w:r>
      <w:r w:rsidR="00BD20D3">
        <w:t>:</w:t>
      </w:r>
    </w:p>
    <w:p w:rsidR="00A14981" w:rsidRDefault="00832720" w:rsidP="00A14981">
      <w:pPr>
        <w:pStyle w:val="BodyText"/>
        <w:numPr>
          <w:ilvl w:val="1"/>
          <w:numId w:val="11"/>
        </w:numPr>
      </w:pPr>
      <w:r>
        <w:t xml:space="preserve">We </w:t>
      </w:r>
      <w:r w:rsidR="00A14981">
        <w:t xml:space="preserve">work directly with analyst earnings forecasts and dividend payout forecasts instead of developing a </w:t>
      </w:r>
      <w:r>
        <w:t>D</w:t>
      </w:r>
      <w:r w:rsidR="00FD0ECC">
        <w:t>CF model as in VAL1.</w:t>
      </w:r>
    </w:p>
    <w:p w:rsidR="00A14981" w:rsidRDefault="00832720" w:rsidP="00A14981">
      <w:pPr>
        <w:pStyle w:val="BodyText"/>
        <w:numPr>
          <w:ilvl w:val="1"/>
          <w:numId w:val="11"/>
        </w:numPr>
      </w:pPr>
      <w:r>
        <w:t>We s</w:t>
      </w:r>
      <w:r w:rsidR="00A14981">
        <w:t>et the terminal growth rate equal to</w:t>
      </w:r>
      <w:r w:rsidR="00757BF1">
        <w:t xml:space="preserve"> the </w:t>
      </w:r>
      <w:r w:rsidR="00A14981">
        <w:t xml:space="preserve">implied </w:t>
      </w:r>
      <w:r w:rsidR="00757BF1">
        <w:t xml:space="preserve">return </w:t>
      </w:r>
      <w:r w:rsidR="00A14981">
        <w:t>minus the earnings yield to capture the idea that risk and growth go together.</w:t>
      </w:r>
    </w:p>
    <w:p w:rsidR="00A14981" w:rsidRDefault="00952B1F" w:rsidP="00A14981">
      <w:pPr>
        <w:pStyle w:val="BodyText"/>
        <w:numPr>
          <w:ilvl w:val="0"/>
          <w:numId w:val="11"/>
        </w:numPr>
      </w:pPr>
      <w:r>
        <w:t>Compute</w:t>
      </w:r>
      <w:r w:rsidR="00A14981" w:rsidRPr="00524E87">
        <w:t xml:space="preserve"> the </w:t>
      </w:r>
      <w:r>
        <w:t>required</w:t>
      </w:r>
      <w:r w:rsidR="00A14981">
        <w:t xml:space="preserve"> return via the CAPM. </w:t>
      </w:r>
    </w:p>
    <w:p w:rsidR="00A14981" w:rsidRDefault="00832720" w:rsidP="00A14981">
      <w:pPr>
        <w:pStyle w:val="BodyText"/>
        <w:numPr>
          <w:ilvl w:val="1"/>
          <w:numId w:val="11"/>
        </w:numPr>
      </w:pPr>
      <w:r>
        <w:t>We</w:t>
      </w:r>
      <w:r w:rsidR="00A14981">
        <w:t xml:space="preserve"> use the implied market risk premium rather than </w:t>
      </w:r>
      <w:r>
        <w:t xml:space="preserve">the </w:t>
      </w:r>
      <w:r w:rsidR="00A14981">
        <w:t xml:space="preserve">historical market risk premium. The </w:t>
      </w:r>
      <w:r>
        <w:t xml:space="preserve">former </w:t>
      </w:r>
      <w:r w:rsidR="00A14981">
        <w:t xml:space="preserve">equals implied </w:t>
      </w:r>
      <w:r w:rsidR="00757BF1">
        <w:t>return on</w:t>
      </w:r>
      <w:r w:rsidR="00A14981">
        <w:t xml:space="preserve"> the market portfolio minus the risk free rate. </w:t>
      </w:r>
    </w:p>
    <w:p w:rsidR="00A14981" w:rsidRDefault="00757BF1" w:rsidP="00A14981">
      <w:pPr>
        <w:pStyle w:val="BodyText"/>
        <w:numPr>
          <w:ilvl w:val="0"/>
          <w:numId w:val="11"/>
        </w:numPr>
      </w:pPr>
      <w:r>
        <w:t>Excess Implied Return</w:t>
      </w:r>
      <w:r w:rsidR="00F00C41">
        <w:t xml:space="preserve"> =</w:t>
      </w:r>
      <w:r w:rsidR="00832720">
        <w:t xml:space="preserve"> implied </w:t>
      </w:r>
      <w:r>
        <w:t>return</w:t>
      </w:r>
      <w:r w:rsidR="00952B1F">
        <w:t xml:space="preserve"> – return required based on CAPM</w:t>
      </w:r>
      <w:r w:rsidR="00A14981">
        <w:t xml:space="preserve">. </w:t>
      </w:r>
      <w:r>
        <w:t>EIR</w:t>
      </w:r>
      <w:r w:rsidR="00952B1F">
        <w:t xml:space="preserve"> can be viewed as excess return. </w:t>
      </w:r>
      <w:r w:rsidR="00832720">
        <w:t xml:space="preserve">A </w:t>
      </w:r>
      <w:r w:rsidR="008A5788">
        <w:t xml:space="preserve">positive </w:t>
      </w:r>
      <w:r>
        <w:t>EIR</w:t>
      </w:r>
      <w:r w:rsidR="00F00C41">
        <w:t xml:space="preserve"> </w:t>
      </w:r>
      <w:r w:rsidR="00A14981">
        <w:t xml:space="preserve">suggests underpricing, and vice versa. Of course, this is </w:t>
      </w:r>
      <w:r w:rsidR="00832720">
        <w:t xml:space="preserve">only </w:t>
      </w:r>
      <w:r w:rsidR="00A14981">
        <w:t xml:space="preserve">an initial screen that </w:t>
      </w:r>
      <w:r w:rsidR="00832720">
        <w:t>identifies</w:t>
      </w:r>
      <w:r w:rsidR="00A14981">
        <w:t xml:space="preserve"> stocks that need </w:t>
      </w:r>
      <w:r w:rsidR="00B647A9">
        <w:t>further study</w:t>
      </w:r>
      <w:r w:rsidR="00A14981">
        <w:t>.</w:t>
      </w:r>
    </w:p>
    <w:p w:rsidR="00450744" w:rsidRDefault="00450744" w:rsidP="00450744">
      <w:pPr>
        <w:pStyle w:val="BodyText"/>
      </w:pPr>
    </w:p>
    <w:p w:rsidR="00450744" w:rsidRDefault="00450744" w:rsidP="00450744">
      <w:pPr>
        <w:pStyle w:val="BodyText"/>
      </w:pPr>
    </w:p>
    <w:sectPr w:rsidR="0045074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E2" w:rsidRDefault="007D42E2">
      <w:r>
        <w:separator/>
      </w:r>
    </w:p>
  </w:endnote>
  <w:endnote w:type="continuationSeparator" w:id="0">
    <w:p w:rsidR="007D42E2" w:rsidRDefault="007D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9DC" w:rsidRDefault="00B039DC" w:rsidP="006133B8">
    <w:pPr>
      <w:pStyle w:val="Footer"/>
      <w:tabs>
        <w:tab w:val="clear" w:pos="4320"/>
      </w:tabs>
    </w:pPr>
    <w:r>
      <w:fldChar w:fldCharType="begin"/>
    </w:r>
    <w:r>
      <w:instrText xml:space="preserve"> DATE \@ "MMMM d, yyyy" </w:instrText>
    </w:r>
    <w:r>
      <w:fldChar w:fldCharType="separate"/>
    </w:r>
    <w:r w:rsidR="00CC44CD">
      <w:rPr>
        <w:noProof/>
      </w:rPr>
      <w:t>September 3, 2016</w:t>
    </w:r>
    <w:r>
      <w:fldChar w:fldCharType="end"/>
    </w:r>
    <w:r>
      <w:t xml:space="preserve"> Visit </w:t>
    </w:r>
    <w:hyperlink r:id="rId1" w:history="1">
      <w:r w:rsidRPr="00744C6D">
        <w:rPr>
          <w:rStyle w:val="Hyperlink"/>
        </w:rPr>
        <w:t>http://www.godeohlson.com/</w:t>
      </w:r>
    </w:hyperlink>
    <w:r>
      <w:t xml:space="preserve"> for updates.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CC44C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E2" w:rsidRDefault="007D42E2">
      <w:r>
        <w:separator/>
      </w:r>
    </w:p>
  </w:footnote>
  <w:footnote w:type="continuationSeparator" w:id="0">
    <w:p w:rsidR="007D42E2" w:rsidRDefault="007D4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9DC" w:rsidRDefault="00B039DC" w:rsidP="006133B8">
    <w:pPr>
      <w:pStyle w:val="Header"/>
      <w:tabs>
        <w:tab w:val="clear" w:pos="4320"/>
      </w:tabs>
    </w:pPr>
    <w:r>
      <w:t>FSA &amp; Valuation Spreadsheets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44CD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577"/>
    <w:multiLevelType w:val="multilevel"/>
    <w:tmpl w:val="0BDE7F6A"/>
    <w:numStyleLink w:val="StyleOutlinenumbered"/>
  </w:abstractNum>
  <w:abstractNum w:abstractNumId="1" w15:restartNumberingAfterBreak="0">
    <w:nsid w:val="0661555D"/>
    <w:multiLevelType w:val="multilevel"/>
    <w:tmpl w:val="8728A3A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" w15:restartNumberingAfterBreak="0">
    <w:nsid w:val="1A6D07FD"/>
    <w:multiLevelType w:val="multilevel"/>
    <w:tmpl w:val="95D6D198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944"/>
      </w:pPr>
      <w:rPr>
        <w:rFonts w:hint="default"/>
      </w:rPr>
    </w:lvl>
  </w:abstractNum>
  <w:abstractNum w:abstractNumId="3" w15:restartNumberingAfterBreak="0">
    <w:nsid w:val="207F64A6"/>
    <w:multiLevelType w:val="hybridMultilevel"/>
    <w:tmpl w:val="EFA2E2FA"/>
    <w:lvl w:ilvl="0" w:tplc="49C8F9BC">
      <w:start w:val="1"/>
      <w:numFmt w:val="bullet"/>
      <w:pStyle w:val="Indentedlist"/>
      <w:lvlText w:val="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0EF9"/>
    <w:multiLevelType w:val="multilevel"/>
    <w:tmpl w:val="0ADC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866A96"/>
    <w:multiLevelType w:val="multilevel"/>
    <w:tmpl w:val="E24C27B4"/>
    <w:lvl w:ilvl="0">
      <w:start w:val="1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944"/>
      </w:pPr>
      <w:rPr>
        <w:rFonts w:hint="default"/>
      </w:rPr>
    </w:lvl>
  </w:abstractNum>
  <w:abstractNum w:abstractNumId="6" w15:restartNumberingAfterBreak="0">
    <w:nsid w:val="378A61FE"/>
    <w:multiLevelType w:val="multilevel"/>
    <w:tmpl w:val="E30E3590"/>
    <w:styleLink w:val="ListOutlineNumbered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504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B450AB2"/>
    <w:multiLevelType w:val="multilevel"/>
    <w:tmpl w:val="9A4CBF2E"/>
    <w:styleLink w:val="ListOutlineChar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kern w:val="22"/>
        <w:sz w:val="22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3C8A3413"/>
    <w:multiLevelType w:val="hybridMultilevel"/>
    <w:tmpl w:val="73B0B4EA"/>
    <w:lvl w:ilvl="0" w:tplc="21D65D86">
      <w:start w:val="1"/>
      <w:numFmt w:val="bullet"/>
      <w:pStyle w:val="List"/>
      <w:lvlText w:val="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132E1"/>
    <w:multiLevelType w:val="multilevel"/>
    <w:tmpl w:val="0228F732"/>
    <w:styleLink w:val="ListMultiple-choiceChar"/>
    <w:lvl w:ilvl="0">
      <w:start w:val="1"/>
      <w:numFmt w:val="lowerLetter"/>
      <w:lvlText w:val="%1."/>
      <w:lvlJc w:val="left"/>
      <w:pPr>
        <w:tabs>
          <w:tab w:val="num" w:pos="1008"/>
        </w:tabs>
        <w:ind w:left="1008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584"/>
        </w:tabs>
        <w:ind w:left="122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04"/>
        </w:tabs>
        <w:ind w:left="1944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24"/>
        </w:tabs>
        <w:ind w:left="266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44"/>
        </w:tabs>
        <w:ind w:left="338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64"/>
        </w:tabs>
        <w:ind w:left="410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84"/>
        </w:tabs>
        <w:ind w:left="482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04"/>
        </w:tabs>
        <w:ind w:left="554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24"/>
        </w:tabs>
        <w:ind w:left="6264" w:firstLine="0"/>
      </w:pPr>
      <w:rPr>
        <w:rFonts w:hint="default"/>
      </w:rPr>
    </w:lvl>
  </w:abstractNum>
  <w:abstractNum w:abstractNumId="10" w15:restartNumberingAfterBreak="0">
    <w:nsid w:val="42DA5FB4"/>
    <w:multiLevelType w:val="multilevel"/>
    <w:tmpl w:val="22883D72"/>
    <w:numStyleLink w:val="ListBulletedIndented"/>
  </w:abstractNum>
  <w:abstractNum w:abstractNumId="11" w15:restartNumberingAfterBreak="0">
    <w:nsid w:val="47705053"/>
    <w:multiLevelType w:val="multilevel"/>
    <w:tmpl w:val="0BDE7F6A"/>
    <w:numStyleLink w:val="StyleOutlinenumbered"/>
  </w:abstractNum>
  <w:abstractNum w:abstractNumId="12" w15:restartNumberingAfterBreak="0">
    <w:nsid w:val="5397050E"/>
    <w:multiLevelType w:val="multilevel"/>
    <w:tmpl w:val="29529492"/>
    <w:numStyleLink w:val="ListBulleted"/>
  </w:abstractNum>
  <w:abstractNum w:abstractNumId="13" w15:restartNumberingAfterBreak="0">
    <w:nsid w:val="55DF06A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83D7305"/>
    <w:multiLevelType w:val="multilevel"/>
    <w:tmpl w:val="0BDE7F6A"/>
    <w:numStyleLink w:val="StyleOutlinenumbered"/>
  </w:abstractNum>
  <w:abstractNum w:abstractNumId="15" w15:restartNumberingAfterBreak="0">
    <w:nsid w:val="598A3D4F"/>
    <w:multiLevelType w:val="multilevel"/>
    <w:tmpl w:val="0BDE7F6A"/>
    <w:numStyleLink w:val="StyleOutlinenumbered"/>
  </w:abstractNum>
  <w:abstractNum w:abstractNumId="16" w15:restartNumberingAfterBreak="0">
    <w:nsid w:val="6025499B"/>
    <w:multiLevelType w:val="multilevel"/>
    <w:tmpl w:val="6CB026C4"/>
    <w:lvl w:ilvl="0">
      <w:start w:val="1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3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944"/>
      </w:pPr>
      <w:rPr>
        <w:rFonts w:hint="default"/>
      </w:rPr>
    </w:lvl>
  </w:abstractNum>
  <w:abstractNum w:abstractNumId="17" w15:restartNumberingAfterBreak="0">
    <w:nsid w:val="61B70552"/>
    <w:multiLevelType w:val="multilevel"/>
    <w:tmpl w:val="29529492"/>
    <w:numStyleLink w:val="ListBulleted"/>
  </w:abstractNum>
  <w:abstractNum w:abstractNumId="18" w15:restartNumberingAfterBreak="0">
    <w:nsid w:val="658C08DB"/>
    <w:multiLevelType w:val="multilevel"/>
    <w:tmpl w:val="0BDE7F6A"/>
    <w:styleLink w:val="StyleOutlinenumbered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504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6"/>
        </w:tabs>
        <w:ind w:left="2016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6E070B3"/>
    <w:multiLevelType w:val="multilevel"/>
    <w:tmpl w:val="29529492"/>
    <w:styleLink w:val="ListBulleted"/>
    <w:lvl w:ilvl="0">
      <w:start w:val="1"/>
      <w:numFmt w:val="bullet"/>
      <w:lvlText w:val=""/>
      <w:lvlJc w:val="left"/>
      <w:pPr>
        <w:tabs>
          <w:tab w:val="num" w:pos="504"/>
        </w:tabs>
        <w:ind w:left="504" w:hanging="504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8C17DA9"/>
    <w:multiLevelType w:val="multilevel"/>
    <w:tmpl w:val="29529492"/>
    <w:numStyleLink w:val="ListBulleted"/>
  </w:abstractNum>
  <w:abstractNum w:abstractNumId="21" w15:restartNumberingAfterBreak="0">
    <w:nsid w:val="68D048A3"/>
    <w:multiLevelType w:val="multilevel"/>
    <w:tmpl w:val="22883D72"/>
    <w:styleLink w:val="ListBulletedIndented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50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16"/>
        </w:tabs>
        <w:ind w:left="2016" w:hanging="504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tabs>
          <w:tab w:val="num" w:pos="2520"/>
        </w:tabs>
        <w:ind w:left="2520" w:hanging="504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</w:abstractNum>
  <w:abstractNum w:abstractNumId="22" w15:restartNumberingAfterBreak="0">
    <w:nsid w:val="6D7E59F0"/>
    <w:multiLevelType w:val="multilevel"/>
    <w:tmpl w:val="50EE0E1A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1DB3044"/>
    <w:multiLevelType w:val="multilevel"/>
    <w:tmpl w:val="9A4CBF2E"/>
    <w:styleLink w:val="StyleCharOutlinenumbered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kern w:val="22"/>
        <w:sz w:val="22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504"/>
      </w:pPr>
      <w:rPr>
        <w:rFonts w:hint="default"/>
        <w:sz w:val="22"/>
      </w:rPr>
    </w:lvl>
    <w:lvl w:ilvl="2">
      <w:start w:val="1"/>
      <w:numFmt w:val="lowerRoman"/>
      <w:lvlText w:val="%3."/>
      <w:lvlJc w:val="left"/>
      <w:pPr>
        <w:tabs>
          <w:tab w:val="num" w:pos="1512"/>
        </w:tabs>
        <w:ind w:left="151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8A35D45"/>
    <w:multiLevelType w:val="multilevel"/>
    <w:tmpl w:val="0BDE7F6A"/>
    <w:numStyleLink w:val="StyleOutlinenumbered"/>
  </w:abstractNum>
  <w:abstractNum w:abstractNumId="25" w15:restartNumberingAfterBreak="0">
    <w:nsid w:val="7E0024D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3"/>
  </w:num>
  <w:num w:numId="3">
    <w:abstractNumId w:val="8"/>
  </w:num>
  <w:num w:numId="4">
    <w:abstractNumId w:val="19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18"/>
  </w:num>
  <w:num w:numId="10">
    <w:abstractNumId w:val="23"/>
  </w:num>
  <w:num w:numId="11">
    <w:abstractNumId w:val="17"/>
  </w:num>
  <w:num w:numId="12">
    <w:abstractNumId w:val="10"/>
  </w:num>
  <w:num w:numId="13">
    <w:abstractNumId w:val="0"/>
  </w:num>
  <w:num w:numId="14">
    <w:abstractNumId w:val="12"/>
  </w:num>
  <w:num w:numId="15">
    <w:abstractNumId w:val="1"/>
  </w:num>
  <w:num w:numId="16">
    <w:abstractNumId w:val="2"/>
  </w:num>
  <w:num w:numId="17">
    <w:abstractNumId w:val="4"/>
  </w:num>
  <w:num w:numId="18">
    <w:abstractNumId w:val="16"/>
  </w:num>
  <w:num w:numId="19">
    <w:abstractNumId w:val="11"/>
  </w:num>
  <w:num w:numId="20">
    <w:abstractNumId w:val="5"/>
  </w:num>
  <w:num w:numId="21">
    <w:abstractNumId w:val="24"/>
  </w:num>
  <w:num w:numId="22">
    <w:abstractNumId w:val="14"/>
  </w:num>
  <w:num w:numId="23">
    <w:abstractNumId w:val="15"/>
  </w:num>
  <w:num w:numId="24">
    <w:abstractNumId w:val="25"/>
  </w:num>
  <w:num w:numId="25">
    <w:abstractNumId w:val="13"/>
  </w:num>
  <w:num w:numId="2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A4"/>
    <w:rsid w:val="0000080C"/>
    <w:rsid w:val="000018D8"/>
    <w:rsid w:val="00002938"/>
    <w:rsid w:val="00003EAB"/>
    <w:rsid w:val="00004B65"/>
    <w:rsid w:val="00016E4A"/>
    <w:rsid w:val="000248E7"/>
    <w:rsid w:val="00024AED"/>
    <w:rsid w:val="00024C43"/>
    <w:rsid w:val="00024F17"/>
    <w:rsid w:val="00024FA4"/>
    <w:rsid w:val="00027B9B"/>
    <w:rsid w:val="00036E91"/>
    <w:rsid w:val="00041099"/>
    <w:rsid w:val="00044B4A"/>
    <w:rsid w:val="0005615F"/>
    <w:rsid w:val="00057703"/>
    <w:rsid w:val="00062028"/>
    <w:rsid w:val="00063ECC"/>
    <w:rsid w:val="00064AA2"/>
    <w:rsid w:val="000650D4"/>
    <w:rsid w:val="00072ADF"/>
    <w:rsid w:val="00074202"/>
    <w:rsid w:val="00076844"/>
    <w:rsid w:val="000772FE"/>
    <w:rsid w:val="00077C60"/>
    <w:rsid w:val="00080625"/>
    <w:rsid w:val="00081431"/>
    <w:rsid w:val="00082FC6"/>
    <w:rsid w:val="000902A8"/>
    <w:rsid w:val="0009115B"/>
    <w:rsid w:val="00091F53"/>
    <w:rsid w:val="00093A13"/>
    <w:rsid w:val="00093A15"/>
    <w:rsid w:val="000A1467"/>
    <w:rsid w:val="000A17A7"/>
    <w:rsid w:val="000A2812"/>
    <w:rsid w:val="000A4C1E"/>
    <w:rsid w:val="000A4F75"/>
    <w:rsid w:val="000A76B2"/>
    <w:rsid w:val="000B1D30"/>
    <w:rsid w:val="000B1D4A"/>
    <w:rsid w:val="000B2E3D"/>
    <w:rsid w:val="000B3F5E"/>
    <w:rsid w:val="000B6132"/>
    <w:rsid w:val="000B7088"/>
    <w:rsid w:val="000C0BB3"/>
    <w:rsid w:val="000C1A5E"/>
    <w:rsid w:val="000C2345"/>
    <w:rsid w:val="000C4430"/>
    <w:rsid w:val="000D0994"/>
    <w:rsid w:val="000D35D3"/>
    <w:rsid w:val="000D4A8E"/>
    <w:rsid w:val="000D5F0A"/>
    <w:rsid w:val="000E10D5"/>
    <w:rsid w:val="000E2AB5"/>
    <w:rsid w:val="000F5C82"/>
    <w:rsid w:val="000F6E14"/>
    <w:rsid w:val="000F6E3D"/>
    <w:rsid w:val="000F7B13"/>
    <w:rsid w:val="000F7E19"/>
    <w:rsid w:val="00102831"/>
    <w:rsid w:val="00103B4E"/>
    <w:rsid w:val="001073F9"/>
    <w:rsid w:val="001109C1"/>
    <w:rsid w:val="001222B8"/>
    <w:rsid w:val="00130579"/>
    <w:rsid w:val="00131F61"/>
    <w:rsid w:val="00132868"/>
    <w:rsid w:val="00132FE1"/>
    <w:rsid w:val="00136584"/>
    <w:rsid w:val="001434C8"/>
    <w:rsid w:val="0015094C"/>
    <w:rsid w:val="00152CB5"/>
    <w:rsid w:val="0015343F"/>
    <w:rsid w:val="00154F0F"/>
    <w:rsid w:val="0015599C"/>
    <w:rsid w:val="00157DE0"/>
    <w:rsid w:val="00160EAC"/>
    <w:rsid w:val="00170EA8"/>
    <w:rsid w:val="001723B1"/>
    <w:rsid w:val="001745EE"/>
    <w:rsid w:val="00174629"/>
    <w:rsid w:val="00177798"/>
    <w:rsid w:val="00180B51"/>
    <w:rsid w:val="001826F8"/>
    <w:rsid w:val="00185B75"/>
    <w:rsid w:val="001907A9"/>
    <w:rsid w:val="001933FC"/>
    <w:rsid w:val="001940B9"/>
    <w:rsid w:val="00196592"/>
    <w:rsid w:val="001A1131"/>
    <w:rsid w:val="001A1C7C"/>
    <w:rsid w:val="001A24C0"/>
    <w:rsid w:val="001A26D7"/>
    <w:rsid w:val="001A62D6"/>
    <w:rsid w:val="001A778D"/>
    <w:rsid w:val="001B0B76"/>
    <w:rsid w:val="001C3EFD"/>
    <w:rsid w:val="001C71CA"/>
    <w:rsid w:val="001D23E4"/>
    <w:rsid w:val="001D43CE"/>
    <w:rsid w:val="001D5DE7"/>
    <w:rsid w:val="001D627C"/>
    <w:rsid w:val="001E274D"/>
    <w:rsid w:val="001E40D4"/>
    <w:rsid w:val="001F1C14"/>
    <w:rsid w:val="001F7224"/>
    <w:rsid w:val="00201BA2"/>
    <w:rsid w:val="002047BE"/>
    <w:rsid w:val="00204FC7"/>
    <w:rsid w:val="002051C9"/>
    <w:rsid w:val="00207354"/>
    <w:rsid w:val="00207832"/>
    <w:rsid w:val="002118F4"/>
    <w:rsid w:val="00212B82"/>
    <w:rsid w:val="002177BB"/>
    <w:rsid w:val="0022036A"/>
    <w:rsid w:val="00222574"/>
    <w:rsid w:val="00223A15"/>
    <w:rsid w:val="0022423F"/>
    <w:rsid w:val="002260C7"/>
    <w:rsid w:val="00234BF4"/>
    <w:rsid w:val="002351BD"/>
    <w:rsid w:val="0023536A"/>
    <w:rsid w:val="0023656E"/>
    <w:rsid w:val="002401E1"/>
    <w:rsid w:val="00241173"/>
    <w:rsid w:val="002422C0"/>
    <w:rsid w:val="00245605"/>
    <w:rsid w:val="00247EFD"/>
    <w:rsid w:val="002507EB"/>
    <w:rsid w:val="0026021B"/>
    <w:rsid w:val="00265D7F"/>
    <w:rsid w:val="002679C6"/>
    <w:rsid w:val="002725C1"/>
    <w:rsid w:val="00281733"/>
    <w:rsid w:val="002834A0"/>
    <w:rsid w:val="00283DC6"/>
    <w:rsid w:val="002852AA"/>
    <w:rsid w:val="00286890"/>
    <w:rsid w:val="00291D3E"/>
    <w:rsid w:val="00292EED"/>
    <w:rsid w:val="00293F3B"/>
    <w:rsid w:val="002978F9"/>
    <w:rsid w:val="002A0D47"/>
    <w:rsid w:val="002A3030"/>
    <w:rsid w:val="002A3D53"/>
    <w:rsid w:val="002A4E21"/>
    <w:rsid w:val="002B3973"/>
    <w:rsid w:val="002B5332"/>
    <w:rsid w:val="002B6BDA"/>
    <w:rsid w:val="002C188E"/>
    <w:rsid w:val="002C374C"/>
    <w:rsid w:val="002C4A47"/>
    <w:rsid w:val="002D11DC"/>
    <w:rsid w:val="002D1F20"/>
    <w:rsid w:val="002D2ED7"/>
    <w:rsid w:val="002E0717"/>
    <w:rsid w:val="002E28E7"/>
    <w:rsid w:val="002F2A0A"/>
    <w:rsid w:val="002F2C53"/>
    <w:rsid w:val="002F2D81"/>
    <w:rsid w:val="002F5547"/>
    <w:rsid w:val="003023E3"/>
    <w:rsid w:val="00303C6B"/>
    <w:rsid w:val="00304C4F"/>
    <w:rsid w:val="00305BDA"/>
    <w:rsid w:val="00305E71"/>
    <w:rsid w:val="00307C8F"/>
    <w:rsid w:val="0031053D"/>
    <w:rsid w:val="00312365"/>
    <w:rsid w:val="00312464"/>
    <w:rsid w:val="00313115"/>
    <w:rsid w:val="00315362"/>
    <w:rsid w:val="00315A61"/>
    <w:rsid w:val="00320EA6"/>
    <w:rsid w:val="003210ED"/>
    <w:rsid w:val="0032209A"/>
    <w:rsid w:val="00323942"/>
    <w:rsid w:val="003256F8"/>
    <w:rsid w:val="0032667C"/>
    <w:rsid w:val="003307C8"/>
    <w:rsid w:val="00330E3F"/>
    <w:rsid w:val="0033221D"/>
    <w:rsid w:val="003347F8"/>
    <w:rsid w:val="00335DFA"/>
    <w:rsid w:val="00336AF0"/>
    <w:rsid w:val="0034046F"/>
    <w:rsid w:val="003406F2"/>
    <w:rsid w:val="003419FC"/>
    <w:rsid w:val="00345035"/>
    <w:rsid w:val="0034563B"/>
    <w:rsid w:val="003456F8"/>
    <w:rsid w:val="00350AA4"/>
    <w:rsid w:val="00353547"/>
    <w:rsid w:val="00353B97"/>
    <w:rsid w:val="00353DA5"/>
    <w:rsid w:val="00354337"/>
    <w:rsid w:val="00363129"/>
    <w:rsid w:val="00366AF2"/>
    <w:rsid w:val="00366F92"/>
    <w:rsid w:val="00372670"/>
    <w:rsid w:val="00373596"/>
    <w:rsid w:val="0037459F"/>
    <w:rsid w:val="00375161"/>
    <w:rsid w:val="00376F13"/>
    <w:rsid w:val="00377679"/>
    <w:rsid w:val="00381D87"/>
    <w:rsid w:val="00385C16"/>
    <w:rsid w:val="00385FAE"/>
    <w:rsid w:val="0038636D"/>
    <w:rsid w:val="00390BC4"/>
    <w:rsid w:val="003912E9"/>
    <w:rsid w:val="00397A03"/>
    <w:rsid w:val="003A0386"/>
    <w:rsid w:val="003A16BF"/>
    <w:rsid w:val="003A1EC4"/>
    <w:rsid w:val="003A2995"/>
    <w:rsid w:val="003A36B5"/>
    <w:rsid w:val="003A50EA"/>
    <w:rsid w:val="003A7679"/>
    <w:rsid w:val="003B1BFE"/>
    <w:rsid w:val="003B7D35"/>
    <w:rsid w:val="003C4628"/>
    <w:rsid w:val="003C616F"/>
    <w:rsid w:val="003D1509"/>
    <w:rsid w:val="003D1F34"/>
    <w:rsid w:val="003D4125"/>
    <w:rsid w:val="003D4C83"/>
    <w:rsid w:val="003E14EC"/>
    <w:rsid w:val="003E19D9"/>
    <w:rsid w:val="003E7575"/>
    <w:rsid w:val="003E7BD3"/>
    <w:rsid w:val="003F6625"/>
    <w:rsid w:val="003F6691"/>
    <w:rsid w:val="00402914"/>
    <w:rsid w:val="00403251"/>
    <w:rsid w:val="004064A0"/>
    <w:rsid w:val="00407ACF"/>
    <w:rsid w:val="004117A9"/>
    <w:rsid w:val="00412104"/>
    <w:rsid w:val="00413C4C"/>
    <w:rsid w:val="00414FF4"/>
    <w:rsid w:val="0041520C"/>
    <w:rsid w:val="00417208"/>
    <w:rsid w:val="004264F3"/>
    <w:rsid w:val="00430BFE"/>
    <w:rsid w:val="00433C89"/>
    <w:rsid w:val="00436C8B"/>
    <w:rsid w:val="004377FB"/>
    <w:rsid w:val="00437BC4"/>
    <w:rsid w:val="004406F2"/>
    <w:rsid w:val="00444B56"/>
    <w:rsid w:val="004477F7"/>
    <w:rsid w:val="0045021E"/>
    <w:rsid w:val="00450744"/>
    <w:rsid w:val="004510B7"/>
    <w:rsid w:val="00452380"/>
    <w:rsid w:val="00452C54"/>
    <w:rsid w:val="004542F5"/>
    <w:rsid w:val="00454FAE"/>
    <w:rsid w:val="004550BD"/>
    <w:rsid w:val="00455C2D"/>
    <w:rsid w:val="004611D8"/>
    <w:rsid w:val="004624F0"/>
    <w:rsid w:val="00465B55"/>
    <w:rsid w:val="00472E99"/>
    <w:rsid w:val="004779BF"/>
    <w:rsid w:val="004818EE"/>
    <w:rsid w:val="00482F8D"/>
    <w:rsid w:val="004852B0"/>
    <w:rsid w:val="00485A4C"/>
    <w:rsid w:val="00485CC4"/>
    <w:rsid w:val="00485F0D"/>
    <w:rsid w:val="0048634C"/>
    <w:rsid w:val="00494923"/>
    <w:rsid w:val="004A524A"/>
    <w:rsid w:val="004A5480"/>
    <w:rsid w:val="004B22A5"/>
    <w:rsid w:val="004C0538"/>
    <w:rsid w:val="004C32EF"/>
    <w:rsid w:val="004C4C94"/>
    <w:rsid w:val="004C4D9D"/>
    <w:rsid w:val="004C5EE1"/>
    <w:rsid w:val="004D1A67"/>
    <w:rsid w:val="004D5EF8"/>
    <w:rsid w:val="004E0799"/>
    <w:rsid w:val="004E25EA"/>
    <w:rsid w:val="004E378A"/>
    <w:rsid w:val="004E5648"/>
    <w:rsid w:val="004F6756"/>
    <w:rsid w:val="005055BA"/>
    <w:rsid w:val="00507E6F"/>
    <w:rsid w:val="00510474"/>
    <w:rsid w:val="00514078"/>
    <w:rsid w:val="005174FC"/>
    <w:rsid w:val="005219D5"/>
    <w:rsid w:val="0052304F"/>
    <w:rsid w:val="0052364D"/>
    <w:rsid w:val="00524E87"/>
    <w:rsid w:val="00525AAC"/>
    <w:rsid w:val="005261B2"/>
    <w:rsid w:val="00536C36"/>
    <w:rsid w:val="00543A68"/>
    <w:rsid w:val="0054617F"/>
    <w:rsid w:val="005519CD"/>
    <w:rsid w:val="00552A0D"/>
    <w:rsid w:val="005556BC"/>
    <w:rsid w:val="00555B3C"/>
    <w:rsid w:val="00556B58"/>
    <w:rsid w:val="0055731C"/>
    <w:rsid w:val="00557E1D"/>
    <w:rsid w:val="00560B68"/>
    <w:rsid w:val="00560E7A"/>
    <w:rsid w:val="00561538"/>
    <w:rsid w:val="0056219B"/>
    <w:rsid w:val="00562303"/>
    <w:rsid w:val="0057503C"/>
    <w:rsid w:val="0057732C"/>
    <w:rsid w:val="00577C19"/>
    <w:rsid w:val="0058124A"/>
    <w:rsid w:val="00582B81"/>
    <w:rsid w:val="00591173"/>
    <w:rsid w:val="00591FDA"/>
    <w:rsid w:val="0059290E"/>
    <w:rsid w:val="00594037"/>
    <w:rsid w:val="00595269"/>
    <w:rsid w:val="005954E6"/>
    <w:rsid w:val="005970DF"/>
    <w:rsid w:val="005A6211"/>
    <w:rsid w:val="005B14D2"/>
    <w:rsid w:val="005B6478"/>
    <w:rsid w:val="005C0C8A"/>
    <w:rsid w:val="005C3E57"/>
    <w:rsid w:val="005C71F3"/>
    <w:rsid w:val="005C7BF6"/>
    <w:rsid w:val="005D10E7"/>
    <w:rsid w:val="005D12FB"/>
    <w:rsid w:val="005D2548"/>
    <w:rsid w:val="005D4BE4"/>
    <w:rsid w:val="005D5F62"/>
    <w:rsid w:val="005D7416"/>
    <w:rsid w:val="005E29DA"/>
    <w:rsid w:val="005E53AD"/>
    <w:rsid w:val="005F00CF"/>
    <w:rsid w:val="005F15D5"/>
    <w:rsid w:val="005F1F5D"/>
    <w:rsid w:val="005F333F"/>
    <w:rsid w:val="005F4E44"/>
    <w:rsid w:val="005F4F76"/>
    <w:rsid w:val="005F7815"/>
    <w:rsid w:val="00601994"/>
    <w:rsid w:val="0060276E"/>
    <w:rsid w:val="00604192"/>
    <w:rsid w:val="00604BDE"/>
    <w:rsid w:val="006055AA"/>
    <w:rsid w:val="00605B1E"/>
    <w:rsid w:val="00606D55"/>
    <w:rsid w:val="00610F93"/>
    <w:rsid w:val="006133B8"/>
    <w:rsid w:val="00613F99"/>
    <w:rsid w:val="00614FBE"/>
    <w:rsid w:val="0061761B"/>
    <w:rsid w:val="00617735"/>
    <w:rsid w:val="00624785"/>
    <w:rsid w:val="0062568F"/>
    <w:rsid w:val="00630901"/>
    <w:rsid w:val="00630C33"/>
    <w:rsid w:val="00631D5C"/>
    <w:rsid w:val="00636237"/>
    <w:rsid w:val="00640217"/>
    <w:rsid w:val="0064576B"/>
    <w:rsid w:val="0065116B"/>
    <w:rsid w:val="006535C5"/>
    <w:rsid w:val="006538A6"/>
    <w:rsid w:val="006550A7"/>
    <w:rsid w:val="00662F6B"/>
    <w:rsid w:val="00664495"/>
    <w:rsid w:val="006663F7"/>
    <w:rsid w:val="006725EA"/>
    <w:rsid w:val="00672A58"/>
    <w:rsid w:val="006749C2"/>
    <w:rsid w:val="00675FFD"/>
    <w:rsid w:val="006779BA"/>
    <w:rsid w:val="006840F5"/>
    <w:rsid w:val="00687418"/>
    <w:rsid w:val="0069199B"/>
    <w:rsid w:val="006939CD"/>
    <w:rsid w:val="00696160"/>
    <w:rsid w:val="006967F8"/>
    <w:rsid w:val="006A1727"/>
    <w:rsid w:val="006A365B"/>
    <w:rsid w:val="006B3258"/>
    <w:rsid w:val="006B7727"/>
    <w:rsid w:val="006C2345"/>
    <w:rsid w:val="006C274F"/>
    <w:rsid w:val="006C3ED7"/>
    <w:rsid w:val="006C6BD1"/>
    <w:rsid w:val="006D196E"/>
    <w:rsid w:val="006D35A3"/>
    <w:rsid w:val="006D4541"/>
    <w:rsid w:val="006E1F93"/>
    <w:rsid w:val="006E3107"/>
    <w:rsid w:val="006E471E"/>
    <w:rsid w:val="006E76D6"/>
    <w:rsid w:val="006F1E49"/>
    <w:rsid w:val="006F2EA0"/>
    <w:rsid w:val="006F398D"/>
    <w:rsid w:val="006F66BE"/>
    <w:rsid w:val="006F7D69"/>
    <w:rsid w:val="00700691"/>
    <w:rsid w:val="00706553"/>
    <w:rsid w:val="0071019F"/>
    <w:rsid w:val="007149E7"/>
    <w:rsid w:val="0071614B"/>
    <w:rsid w:val="00717BC7"/>
    <w:rsid w:val="00720FBA"/>
    <w:rsid w:val="00721516"/>
    <w:rsid w:val="00722F9A"/>
    <w:rsid w:val="0072625F"/>
    <w:rsid w:val="007272B4"/>
    <w:rsid w:val="00727A98"/>
    <w:rsid w:val="00730A14"/>
    <w:rsid w:val="00730CDE"/>
    <w:rsid w:val="0073596D"/>
    <w:rsid w:val="00745000"/>
    <w:rsid w:val="00752A90"/>
    <w:rsid w:val="00754F80"/>
    <w:rsid w:val="00756ACB"/>
    <w:rsid w:val="00757BF1"/>
    <w:rsid w:val="007645D5"/>
    <w:rsid w:val="00772D33"/>
    <w:rsid w:val="00772EAB"/>
    <w:rsid w:val="007735B9"/>
    <w:rsid w:val="007747C7"/>
    <w:rsid w:val="0077515D"/>
    <w:rsid w:val="00775482"/>
    <w:rsid w:val="00776915"/>
    <w:rsid w:val="0078252D"/>
    <w:rsid w:val="0078319C"/>
    <w:rsid w:val="007831DE"/>
    <w:rsid w:val="007905FE"/>
    <w:rsid w:val="00790700"/>
    <w:rsid w:val="00790D93"/>
    <w:rsid w:val="00793271"/>
    <w:rsid w:val="007957FE"/>
    <w:rsid w:val="00796D60"/>
    <w:rsid w:val="007A1F37"/>
    <w:rsid w:val="007A2E79"/>
    <w:rsid w:val="007B397B"/>
    <w:rsid w:val="007B59F4"/>
    <w:rsid w:val="007B7F30"/>
    <w:rsid w:val="007C3D78"/>
    <w:rsid w:val="007C532F"/>
    <w:rsid w:val="007C57AA"/>
    <w:rsid w:val="007C6D6B"/>
    <w:rsid w:val="007D23F8"/>
    <w:rsid w:val="007D23FF"/>
    <w:rsid w:val="007D3B9A"/>
    <w:rsid w:val="007D42E2"/>
    <w:rsid w:val="007E217C"/>
    <w:rsid w:val="007F0DE3"/>
    <w:rsid w:val="007F1B62"/>
    <w:rsid w:val="007F2269"/>
    <w:rsid w:val="007F33B7"/>
    <w:rsid w:val="007F5DC3"/>
    <w:rsid w:val="007F67EE"/>
    <w:rsid w:val="008076D9"/>
    <w:rsid w:val="008107EA"/>
    <w:rsid w:val="00811192"/>
    <w:rsid w:val="00812723"/>
    <w:rsid w:val="0082151A"/>
    <w:rsid w:val="00822861"/>
    <w:rsid w:val="00826A2F"/>
    <w:rsid w:val="008313EC"/>
    <w:rsid w:val="00832720"/>
    <w:rsid w:val="00833F06"/>
    <w:rsid w:val="00836834"/>
    <w:rsid w:val="00837F65"/>
    <w:rsid w:val="00840FA1"/>
    <w:rsid w:val="00840FAD"/>
    <w:rsid w:val="00842501"/>
    <w:rsid w:val="00843EF3"/>
    <w:rsid w:val="00844A54"/>
    <w:rsid w:val="008472D1"/>
    <w:rsid w:val="00847869"/>
    <w:rsid w:val="008505C4"/>
    <w:rsid w:val="00851CD4"/>
    <w:rsid w:val="00864084"/>
    <w:rsid w:val="00866D5A"/>
    <w:rsid w:val="00867282"/>
    <w:rsid w:val="008678B1"/>
    <w:rsid w:val="008713BB"/>
    <w:rsid w:val="00872350"/>
    <w:rsid w:val="008730AB"/>
    <w:rsid w:val="00877A63"/>
    <w:rsid w:val="00880D90"/>
    <w:rsid w:val="00884501"/>
    <w:rsid w:val="00885872"/>
    <w:rsid w:val="00886CB0"/>
    <w:rsid w:val="00892A96"/>
    <w:rsid w:val="00895B40"/>
    <w:rsid w:val="008965C4"/>
    <w:rsid w:val="008977C2"/>
    <w:rsid w:val="008A0D74"/>
    <w:rsid w:val="008A2112"/>
    <w:rsid w:val="008A25E7"/>
    <w:rsid w:val="008A5384"/>
    <w:rsid w:val="008A5788"/>
    <w:rsid w:val="008A57E5"/>
    <w:rsid w:val="008B410B"/>
    <w:rsid w:val="008B7895"/>
    <w:rsid w:val="008C174C"/>
    <w:rsid w:val="008C3AB6"/>
    <w:rsid w:val="008C6F1C"/>
    <w:rsid w:val="008D0A99"/>
    <w:rsid w:val="008D26D4"/>
    <w:rsid w:val="008D2BE5"/>
    <w:rsid w:val="008D5A03"/>
    <w:rsid w:val="008D7BA4"/>
    <w:rsid w:val="008E0368"/>
    <w:rsid w:val="008E0A54"/>
    <w:rsid w:val="008E28C4"/>
    <w:rsid w:val="008E77F2"/>
    <w:rsid w:val="008F29F9"/>
    <w:rsid w:val="008F3D73"/>
    <w:rsid w:val="008F4B4C"/>
    <w:rsid w:val="00901999"/>
    <w:rsid w:val="00911C2A"/>
    <w:rsid w:val="0091497F"/>
    <w:rsid w:val="00914B1C"/>
    <w:rsid w:val="00916B97"/>
    <w:rsid w:val="00917448"/>
    <w:rsid w:val="00922BFA"/>
    <w:rsid w:val="009246DB"/>
    <w:rsid w:val="00926F18"/>
    <w:rsid w:val="009344C9"/>
    <w:rsid w:val="00937106"/>
    <w:rsid w:val="00940493"/>
    <w:rsid w:val="00943E71"/>
    <w:rsid w:val="00951855"/>
    <w:rsid w:val="00952B1F"/>
    <w:rsid w:val="00957ADC"/>
    <w:rsid w:val="00962422"/>
    <w:rsid w:val="009654BC"/>
    <w:rsid w:val="009656C5"/>
    <w:rsid w:val="00966767"/>
    <w:rsid w:val="0096694F"/>
    <w:rsid w:val="00967C6C"/>
    <w:rsid w:val="00971891"/>
    <w:rsid w:val="00975B79"/>
    <w:rsid w:val="00980728"/>
    <w:rsid w:val="00981A54"/>
    <w:rsid w:val="00982959"/>
    <w:rsid w:val="00983DC5"/>
    <w:rsid w:val="00985BC3"/>
    <w:rsid w:val="009862F0"/>
    <w:rsid w:val="00987EE1"/>
    <w:rsid w:val="00990BAF"/>
    <w:rsid w:val="00992971"/>
    <w:rsid w:val="00993C7A"/>
    <w:rsid w:val="0099403C"/>
    <w:rsid w:val="00994408"/>
    <w:rsid w:val="009949B4"/>
    <w:rsid w:val="009A24B8"/>
    <w:rsid w:val="009A41AC"/>
    <w:rsid w:val="009A46EB"/>
    <w:rsid w:val="009B4E60"/>
    <w:rsid w:val="009C0287"/>
    <w:rsid w:val="009C08EC"/>
    <w:rsid w:val="009C7B21"/>
    <w:rsid w:val="009D449C"/>
    <w:rsid w:val="009D55A2"/>
    <w:rsid w:val="009D55EE"/>
    <w:rsid w:val="009D6408"/>
    <w:rsid w:val="009D7272"/>
    <w:rsid w:val="009D73A1"/>
    <w:rsid w:val="009E0E01"/>
    <w:rsid w:val="009E134F"/>
    <w:rsid w:val="009E38FF"/>
    <w:rsid w:val="009F00B9"/>
    <w:rsid w:val="009F67A4"/>
    <w:rsid w:val="00A005AB"/>
    <w:rsid w:val="00A01DA7"/>
    <w:rsid w:val="00A02BD1"/>
    <w:rsid w:val="00A0307A"/>
    <w:rsid w:val="00A05DEE"/>
    <w:rsid w:val="00A0608C"/>
    <w:rsid w:val="00A10C8B"/>
    <w:rsid w:val="00A1326B"/>
    <w:rsid w:val="00A14981"/>
    <w:rsid w:val="00A15695"/>
    <w:rsid w:val="00A20F1C"/>
    <w:rsid w:val="00A239FA"/>
    <w:rsid w:val="00A2432D"/>
    <w:rsid w:val="00A32C01"/>
    <w:rsid w:val="00A33C3A"/>
    <w:rsid w:val="00A34218"/>
    <w:rsid w:val="00A34710"/>
    <w:rsid w:val="00A34EC1"/>
    <w:rsid w:val="00A34FFB"/>
    <w:rsid w:val="00A43C05"/>
    <w:rsid w:val="00A44944"/>
    <w:rsid w:val="00A45CF0"/>
    <w:rsid w:val="00A520A5"/>
    <w:rsid w:val="00A53241"/>
    <w:rsid w:val="00A546D4"/>
    <w:rsid w:val="00A54AF6"/>
    <w:rsid w:val="00A5569C"/>
    <w:rsid w:val="00A57063"/>
    <w:rsid w:val="00A60803"/>
    <w:rsid w:val="00A60FCB"/>
    <w:rsid w:val="00A61323"/>
    <w:rsid w:val="00A66C32"/>
    <w:rsid w:val="00A77AD6"/>
    <w:rsid w:val="00A836FD"/>
    <w:rsid w:val="00A877B7"/>
    <w:rsid w:val="00A879A7"/>
    <w:rsid w:val="00A90F29"/>
    <w:rsid w:val="00A910FB"/>
    <w:rsid w:val="00A95346"/>
    <w:rsid w:val="00A9782D"/>
    <w:rsid w:val="00AA1A4D"/>
    <w:rsid w:val="00AA4B74"/>
    <w:rsid w:val="00AA4B89"/>
    <w:rsid w:val="00AA6E80"/>
    <w:rsid w:val="00AB0286"/>
    <w:rsid w:val="00AB29DB"/>
    <w:rsid w:val="00AB2BFC"/>
    <w:rsid w:val="00AC0A1A"/>
    <w:rsid w:val="00AC0FD6"/>
    <w:rsid w:val="00AC1765"/>
    <w:rsid w:val="00AD268F"/>
    <w:rsid w:val="00AD6422"/>
    <w:rsid w:val="00AD72DD"/>
    <w:rsid w:val="00AD7FF6"/>
    <w:rsid w:val="00AE1A68"/>
    <w:rsid w:val="00AE34E8"/>
    <w:rsid w:val="00AE3F9E"/>
    <w:rsid w:val="00AE7338"/>
    <w:rsid w:val="00AF3093"/>
    <w:rsid w:val="00AF68BE"/>
    <w:rsid w:val="00AF714A"/>
    <w:rsid w:val="00B01581"/>
    <w:rsid w:val="00B039BF"/>
    <w:rsid w:val="00B039DC"/>
    <w:rsid w:val="00B05191"/>
    <w:rsid w:val="00B06783"/>
    <w:rsid w:val="00B22500"/>
    <w:rsid w:val="00B24495"/>
    <w:rsid w:val="00B25E95"/>
    <w:rsid w:val="00B2700A"/>
    <w:rsid w:val="00B273EB"/>
    <w:rsid w:val="00B3604D"/>
    <w:rsid w:val="00B3632F"/>
    <w:rsid w:val="00B37F10"/>
    <w:rsid w:val="00B40401"/>
    <w:rsid w:val="00B430AE"/>
    <w:rsid w:val="00B45179"/>
    <w:rsid w:val="00B46A06"/>
    <w:rsid w:val="00B51CA9"/>
    <w:rsid w:val="00B52284"/>
    <w:rsid w:val="00B53EBA"/>
    <w:rsid w:val="00B5589D"/>
    <w:rsid w:val="00B57201"/>
    <w:rsid w:val="00B575F3"/>
    <w:rsid w:val="00B5785B"/>
    <w:rsid w:val="00B647A9"/>
    <w:rsid w:val="00B65B23"/>
    <w:rsid w:val="00B673B8"/>
    <w:rsid w:val="00B7325E"/>
    <w:rsid w:val="00B73DC7"/>
    <w:rsid w:val="00B73E87"/>
    <w:rsid w:val="00B74A52"/>
    <w:rsid w:val="00B768EE"/>
    <w:rsid w:val="00B90900"/>
    <w:rsid w:val="00B9155A"/>
    <w:rsid w:val="00B9166D"/>
    <w:rsid w:val="00B91D36"/>
    <w:rsid w:val="00B923DC"/>
    <w:rsid w:val="00B92F41"/>
    <w:rsid w:val="00B946C4"/>
    <w:rsid w:val="00BA0731"/>
    <w:rsid w:val="00BA3C07"/>
    <w:rsid w:val="00BA4178"/>
    <w:rsid w:val="00BA42BE"/>
    <w:rsid w:val="00BA4556"/>
    <w:rsid w:val="00BA5C06"/>
    <w:rsid w:val="00BB27E4"/>
    <w:rsid w:val="00BB7517"/>
    <w:rsid w:val="00BD06D6"/>
    <w:rsid w:val="00BD20D3"/>
    <w:rsid w:val="00BD4A56"/>
    <w:rsid w:val="00BE057D"/>
    <w:rsid w:val="00BE3F94"/>
    <w:rsid w:val="00BE5C0E"/>
    <w:rsid w:val="00BE62AE"/>
    <w:rsid w:val="00BF21A9"/>
    <w:rsid w:val="00BF509D"/>
    <w:rsid w:val="00BF50DC"/>
    <w:rsid w:val="00BF5D78"/>
    <w:rsid w:val="00C00294"/>
    <w:rsid w:val="00C00A0F"/>
    <w:rsid w:val="00C00E4E"/>
    <w:rsid w:val="00C0232B"/>
    <w:rsid w:val="00C02EF1"/>
    <w:rsid w:val="00C033A9"/>
    <w:rsid w:val="00C0739B"/>
    <w:rsid w:val="00C1661D"/>
    <w:rsid w:val="00C2034B"/>
    <w:rsid w:val="00C2122C"/>
    <w:rsid w:val="00C23D24"/>
    <w:rsid w:val="00C2547F"/>
    <w:rsid w:val="00C30DD0"/>
    <w:rsid w:val="00C3165A"/>
    <w:rsid w:val="00C40606"/>
    <w:rsid w:val="00C431F2"/>
    <w:rsid w:val="00C431FB"/>
    <w:rsid w:val="00C46788"/>
    <w:rsid w:val="00C5202F"/>
    <w:rsid w:val="00C53BC8"/>
    <w:rsid w:val="00C6008A"/>
    <w:rsid w:val="00C60D60"/>
    <w:rsid w:val="00C62B14"/>
    <w:rsid w:val="00C65CA0"/>
    <w:rsid w:val="00C70258"/>
    <w:rsid w:val="00C72700"/>
    <w:rsid w:val="00C7525C"/>
    <w:rsid w:val="00C75C29"/>
    <w:rsid w:val="00C7723E"/>
    <w:rsid w:val="00C77C8F"/>
    <w:rsid w:val="00C825A2"/>
    <w:rsid w:val="00C8609E"/>
    <w:rsid w:val="00C86180"/>
    <w:rsid w:val="00C86E11"/>
    <w:rsid w:val="00C87E92"/>
    <w:rsid w:val="00C912DA"/>
    <w:rsid w:val="00C925E2"/>
    <w:rsid w:val="00C935AC"/>
    <w:rsid w:val="00C949A6"/>
    <w:rsid w:val="00C960BB"/>
    <w:rsid w:val="00C967D6"/>
    <w:rsid w:val="00C96AC4"/>
    <w:rsid w:val="00C96F0A"/>
    <w:rsid w:val="00CA430F"/>
    <w:rsid w:val="00CA4D09"/>
    <w:rsid w:val="00CA522B"/>
    <w:rsid w:val="00CA7576"/>
    <w:rsid w:val="00CA77A5"/>
    <w:rsid w:val="00CB1CFA"/>
    <w:rsid w:val="00CB1DDF"/>
    <w:rsid w:val="00CB2663"/>
    <w:rsid w:val="00CB4A0F"/>
    <w:rsid w:val="00CB4F19"/>
    <w:rsid w:val="00CB5488"/>
    <w:rsid w:val="00CB758D"/>
    <w:rsid w:val="00CB7D63"/>
    <w:rsid w:val="00CC0655"/>
    <w:rsid w:val="00CC1F32"/>
    <w:rsid w:val="00CC44CD"/>
    <w:rsid w:val="00CC4E1B"/>
    <w:rsid w:val="00CC5A62"/>
    <w:rsid w:val="00CD3358"/>
    <w:rsid w:val="00CD3EF3"/>
    <w:rsid w:val="00CD4070"/>
    <w:rsid w:val="00CD64A9"/>
    <w:rsid w:val="00CE092E"/>
    <w:rsid w:val="00CE230D"/>
    <w:rsid w:val="00CF308A"/>
    <w:rsid w:val="00CF5E0F"/>
    <w:rsid w:val="00D0235C"/>
    <w:rsid w:val="00D02F9C"/>
    <w:rsid w:val="00D036C5"/>
    <w:rsid w:val="00D061F9"/>
    <w:rsid w:val="00D10C0B"/>
    <w:rsid w:val="00D1170A"/>
    <w:rsid w:val="00D11C20"/>
    <w:rsid w:val="00D1286F"/>
    <w:rsid w:val="00D16A64"/>
    <w:rsid w:val="00D206B0"/>
    <w:rsid w:val="00D23D9D"/>
    <w:rsid w:val="00D2543B"/>
    <w:rsid w:val="00D31C81"/>
    <w:rsid w:val="00D33C2D"/>
    <w:rsid w:val="00D34A32"/>
    <w:rsid w:val="00D404F6"/>
    <w:rsid w:val="00D4102B"/>
    <w:rsid w:val="00D42705"/>
    <w:rsid w:val="00D42BCF"/>
    <w:rsid w:val="00D43F32"/>
    <w:rsid w:val="00D4409D"/>
    <w:rsid w:val="00D443E1"/>
    <w:rsid w:val="00D45DAA"/>
    <w:rsid w:val="00D461E3"/>
    <w:rsid w:val="00D46465"/>
    <w:rsid w:val="00D466B7"/>
    <w:rsid w:val="00D47F7A"/>
    <w:rsid w:val="00D502D4"/>
    <w:rsid w:val="00D5194B"/>
    <w:rsid w:val="00D54168"/>
    <w:rsid w:val="00D54EFA"/>
    <w:rsid w:val="00D560B2"/>
    <w:rsid w:val="00D6002A"/>
    <w:rsid w:val="00D6023E"/>
    <w:rsid w:val="00D60B8B"/>
    <w:rsid w:val="00D700FB"/>
    <w:rsid w:val="00D73DBD"/>
    <w:rsid w:val="00D771F0"/>
    <w:rsid w:val="00D77FB7"/>
    <w:rsid w:val="00D81254"/>
    <w:rsid w:val="00D81991"/>
    <w:rsid w:val="00D866BC"/>
    <w:rsid w:val="00D90FC2"/>
    <w:rsid w:val="00D927FE"/>
    <w:rsid w:val="00D92C86"/>
    <w:rsid w:val="00DA79AF"/>
    <w:rsid w:val="00DB154C"/>
    <w:rsid w:val="00DB16CA"/>
    <w:rsid w:val="00DB34B1"/>
    <w:rsid w:val="00DB73AD"/>
    <w:rsid w:val="00DC56EE"/>
    <w:rsid w:val="00DC7D97"/>
    <w:rsid w:val="00DC7DBA"/>
    <w:rsid w:val="00DD06FF"/>
    <w:rsid w:val="00DD52DC"/>
    <w:rsid w:val="00DE21F8"/>
    <w:rsid w:val="00DE322B"/>
    <w:rsid w:val="00DE488D"/>
    <w:rsid w:val="00DE66DB"/>
    <w:rsid w:val="00DF3639"/>
    <w:rsid w:val="00DF3E7A"/>
    <w:rsid w:val="00E001E9"/>
    <w:rsid w:val="00E00CEC"/>
    <w:rsid w:val="00E03693"/>
    <w:rsid w:val="00E037C1"/>
    <w:rsid w:val="00E04B81"/>
    <w:rsid w:val="00E04C8D"/>
    <w:rsid w:val="00E06D79"/>
    <w:rsid w:val="00E06F6F"/>
    <w:rsid w:val="00E071D8"/>
    <w:rsid w:val="00E0799B"/>
    <w:rsid w:val="00E110BF"/>
    <w:rsid w:val="00E11991"/>
    <w:rsid w:val="00E14AB2"/>
    <w:rsid w:val="00E161D2"/>
    <w:rsid w:val="00E2555B"/>
    <w:rsid w:val="00E25F46"/>
    <w:rsid w:val="00E32B30"/>
    <w:rsid w:val="00E4196E"/>
    <w:rsid w:val="00E502FA"/>
    <w:rsid w:val="00E51BA2"/>
    <w:rsid w:val="00E5425C"/>
    <w:rsid w:val="00E546D4"/>
    <w:rsid w:val="00E5554D"/>
    <w:rsid w:val="00E641DF"/>
    <w:rsid w:val="00E6543D"/>
    <w:rsid w:val="00E679CD"/>
    <w:rsid w:val="00E725E2"/>
    <w:rsid w:val="00E730C9"/>
    <w:rsid w:val="00E75769"/>
    <w:rsid w:val="00E82CB0"/>
    <w:rsid w:val="00E8300D"/>
    <w:rsid w:val="00E84F3C"/>
    <w:rsid w:val="00E85C56"/>
    <w:rsid w:val="00E90C12"/>
    <w:rsid w:val="00E932AA"/>
    <w:rsid w:val="00E940D3"/>
    <w:rsid w:val="00EA3153"/>
    <w:rsid w:val="00EA37CE"/>
    <w:rsid w:val="00EA5F4C"/>
    <w:rsid w:val="00EB293E"/>
    <w:rsid w:val="00EB53D8"/>
    <w:rsid w:val="00EC1C8F"/>
    <w:rsid w:val="00EC28F7"/>
    <w:rsid w:val="00EC687F"/>
    <w:rsid w:val="00ED2932"/>
    <w:rsid w:val="00ED2AE3"/>
    <w:rsid w:val="00ED4F6E"/>
    <w:rsid w:val="00ED5256"/>
    <w:rsid w:val="00ED52C0"/>
    <w:rsid w:val="00EE322A"/>
    <w:rsid w:val="00EE7453"/>
    <w:rsid w:val="00EF62B8"/>
    <w:rsid w:val="00F00C41"/>
    <w:rsid w:val="00F01AEB"/>
    <w:rsid w:val="00F078CD"/>
    <w:rsid w:val="00F11021"/>
    <w:rsid w:val="00F115D8"/>
    <w:rsid w:val="00F13309"/>
    <w:rsid w:val="00F13BEC"/>
    <w:rsid w:val="00F1590B"/>
    <w:rsid w:val="00F24109"/>
    <w:rsid w:val="00F24A99"/>
    <w:rsid w:val="00F30F8B"/>
    <w:rsid w:val="00F3119E"/>
    <w:rsid w:val="00F33E7B"/>
    <w:rsid w:val="00F340D9"/>
    <w:rsid w:val="00F34DF3"/>
    <w:rsid w:val="00F367C4"/>
    <w:rsid w:val="00F36E76"/>
    <w:rsid w:val="00F4121E"/>
    <w:rsid w:val="00F453A1"/>
    <w:rsid w:val="00F45A93"/>
    <w:rsid w:val="00F4761E"/>
    <w:rsid w:val="00F502DB"/>
    <w:rsid w:val="00F50683"/>
    <w:rsid w:val="00F507CD"/>
    <w:rsid w:val="00F50AEF"/>
    <w:rsid w:val="00F55518"/>
    <w:rsid w:val="00F56E9F"/>
    <w:rsid w:val="00F66729"/>
    <w:rsid w:val="00F719AE"/>
    <w:rsid w:val="00F74B44"/>
    <w:rsid w:val="00F75180"/>
    <w:rsid w:val="00F76740"/>
    <w:rsid w:val="00F76DC4"/>
    <w:rsid w:val="00F8381D"/>
    <w:rsid w:val="00F8704D"/>
    <w:rsid w:val="00F9182F"/>
    <w:rsid w:val="00F97B73"/>
    <w:rsid w:val="00FA047F"/>
    <w:rsid w:val="00FA2BAE"/>
    <w:rsid w:val="00FA5628"/>
    <w:rsid w:val="00FA59B7"/>
    <w:rsid w:val="00FA7ECE"/>
    <w:rsid w:val="00FB08E1"/>
    <w:rsid w:val="00FB6887"/>
    <w:rsid w:val="00FC09E4"/>
    <w:rsid w:val="00FC0EE5"/>
    <w:rsid w:val="00FC3879"/>
    <w:rsid w:val="00FC748E"/>
    <w:rsid w:val="00FD0ECC"/>
    <w:rsid w:val="00FD3555"/>
    <w:rsid w:val="00FD3DC4"/>
    <w:rsid w:val="00FD4100"/>
    <w:rsid w:val="00FD4639"/>
    <w:rsid w:val="00FE0821"/>
    <w:rsid w:val="00FE1208"/>
    <w:rsid w:val="00FF0903"/>
    <w:rsid w:val="00FF2327"/>
    <w:rsid w:val="00FF2C86"/>
    <w:rsid w:val="00FF3069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F40E11DA-B8D1-48D4-947D-6899BC1F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48E"/>
    <w:pPr>
      <w:jc w:val="both"/>
    </w:pPr>
    <w:rPr>
      <w:kern w:val="22"/>
      <w:sz w:val="22"/>
      <w:szCs w:val="24"/>
    </w:rPr>
  </w:style>
  <w:style w:type="paragraph" w:styleId="Heading1">
    <w:name w:val="heading 1"/>
    <w:basedOn w:val="Normal"/>
    <w:next w:val="Normal"/>
    <w:qFormat/>
    <w:rsid w:val="00FC748E"/>
    <w:pPr>
      <w:keepNext/>
      <w:numPr>
        <w:numId w:val="1"/>
      </w:numPr>
      <w:spacing w:before="120" w:after="120"/>
      <w:outlineLvl w:val="0"/>
    </w:pPr>
    <w:rPr>
      <w:rFonts w:ascii="Arial" w:hAnsi="Arial"/>
      <w:b/>
      <w:bCs/>
      <w:color w:val="000080"/>
      <w:sz w:val="28"/>
      <w:szCs w:val="32"/>
    </w:rPr>
  </w:style>
  <w:style w:type="paragraph" w:styleId="Heading2">
    <w:name w:val="heading 2"/>
    <w:basedOn w:val="Normal"/>
    <w:next w:val="Normal"/>
    <w:qFormat/>
    <w:rsid w:val="00FC748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Cs/>
      <w:color w:val="000080"/>
      <w:sz w:val="24"/>
    </w:rPr>
  </w:style>
  <w:style w:type="paragraph" w:styleId="Heading3">
    <w:name w:val="heading 3"/>
    <w:basedOn w:val="Normal"/>
    <w:next w:val="Normal"/>
    <w:qFormat/>
    <w:rsid w:val="00FC748E"/>
    <w:pPr>
      <w:keepNext/>
      <w:numPr>
        <w:ilvl w:val="2"/>
        <w:numId w:val="1"/>
      </w:numPr>
      <w:spacing w:before="180" w:after="60"/>
      <w:outlineLvl w:val="2"/>
    </w:pPr>
    <w:rPr>
      <w:rFonts w:ascii="Arial" w:hAnsi="Arial" w:cs="Arial"/>
      <w:b/>
      <w:bCs/>
      <w:i/>
      <w:color w:val="000080"/>
    </w:rPr>
  </w:style>
  <w:style w:type="paragraph" w:styleId="Heading4">
    <w:name w:val="heading 4"/>
    <w:basedOn w:val="Normal"/>
    <w:next w:val="Normal"/>
    <w:qFormat/>
    <w:rsid w:val="00FC748E"/>
    <w:pPr>
      <w:keepNext/>
      <w:numPr>
        <w:ilvl w:val="3"/>
        <w:numId w:val="1"/>
      </w:numPr>
      <w:spacing w:before="120" w:after="60"/>
      <w:outlineLvl w:val="3"/>
    </w:pPr>
    <w:rPr>
      <w:b/>
      <w:bCs/>
      <w:kern w:val="0"/>
      <w:szCs w:val="28"/>
    </w:rPr>
  </w:style>
  <w:style w:type="paragraph" w:styleId="Heading5">
    <w:name w:val="heading 5"/>
    <w:basedOn w:val="Normal"/>
    <w:next w:val="Normal"/>
    <w:qFormat/>
    <w:rsid w:val="00FC74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C748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FC748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C748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C748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pointSpacer">
    <w:name w:val="6pointSpacer"/>
    <w:basedOn w:val="Normal"/>
    <w:rsid w:val="00D45DAA"/>
    <w:rPr>
      <w:sz w:val="12"/>
      <w:szCs w:val="12"/>
    </w:rPr>
  </w:style>
  <w:style w:type="paragraph" w:styleId="BodyText">
    <w:name w:val="Body Text"/>
    <w:basedOn w:val="Normal"/>
    <w:rsid w:val="00FC748E"/>
    <w:pPr>
      <w:spacing w:after="120"/>
    </w:pPr>
  </w:style>
  <w:style w:type="paragraph" w:styleId="Caption">
    <w:name w:val="caption"/>
    <w:basedOn w:val="Normal"/>
    <w:next w:val="Normal"/>
    <w:qFormat/>
    <w:rsid w:val="00FC748E"/>
    <w:pPr>
      <w:keepNext/>
      <w:spacing w:before="120" w:after="120"/>
    </w:pPr>
    <w:rPr>
      <w:b/>
      <w:bCs/>
      <w:szCs w:val="20"/>
    </w:rPr>
  </w:style>
  <w:style w:type="paragraph" w:customStyle="1" w:styleId="CenteredCaption">
    <w:name w:val="CenteredCaption"/>
    <w:basedOn w:val="Caption"/>
    <w:rsid w:val="00FC748E"/>
    <w:pPr>
      <w:jc w:val="center"/>
    </w:pPr>
  </w:style>
  <w:style w:type="character" w:customStyle="1" w:styleId="Emphasize">
    <w:name w:val="Emphasize"/>
    <w:rsid w:val="00FC748E"/>
    <w:rPr>
      <w:b/>
      <w:color w:val="000080"/>
    </w:rPr>
  </w:style>
  <w:style w:type="paragraph" w:styleId="Header">
    <w:name w:val="header"/>
    <w:basedOn w:val="Normal"/>
    <w:rsid w:val="00D45DAA"/>
    <w:pPr>
      <w:tabs>
        <w:tab w:val="center" w:pos="4320"/>
        <w:tab w:val="right" w:pos="9360"/>
      </w:tabs>
    </w:pPr>
    <w:rPr>
      <w:rFonts w:ascii="Arial" w:hAnsi="Arial"/>
      <w:sz w:val="16"/>
    </w:rPr>
  </w:style>
  <w:style w:type="character" w:customStyle="1" w:styleId="Italicize">
    <w:name w:val="Italicize"/>
    <w:rsid w:val="00D45DAA"/>
    <w:rPr>
      <w:i/>
      <w:color w:val="003399"/>
    </w:rPr>
  </w:style>
  <w:style w:type="paragraph" w:customStyle="1" w:styleId="Left1">
    <w:name w:val="Left:1"/>
    <w:basedOn w:val="Normal"/>
    <w:rsid w:val="00D45DAA"/>
    <w:pPr>
      <w:ind w:left="504"/>
    </w:pPr>
  </w:style>
  <w:style w:type="paragraph" w:customStyle="1" w:styleId="Left2">
    <w:name w:val="Left:2"/>
    <w:basedOn w:val="Normal"/>
    <w:rsid w:val="00D45DAA"/>
    <w:pPr>
      <w:ind w:left="1008"/>
    </w:pPr>
  </w:style>
  <w:style w:type="paragraph" w:customStyle="1" w:styleId="Left3">
    <w:name w:val="Left:3"/>
    <w:basedOn w:val="Normal"/>
    <w:rsid w:val="00D45DAA"/>
    <w:pPr>
      <w:ind w:left="1800"/>
    </w:pPr>
  </w:style>
  <w:style w:type="paragraph" w:customStyle="1" w:styleId="Left4">
    <w:name w:val="Left:4"/>
    <w:basedOn w:val="Normal"/>
    <w:rsid w:val="00D45DAA"/>
    <w:pPr>
      <w:ind w:left="2736"/>
    </w:pPr>
  </w:style>
  <w:style w:type="numbering" w:customStyle="1" w:styleId="ListBulleted">
    <w:name w:val="List Bulleted"/>
    <w:basedOn w:val="NoList"/>
    <w:rsid w:val="00FC748E"/>
    <w:pPr>
      <w:numPr>
        <w:numId w:val="4"/>
      </w:numPr>
    </w:pPr>
  </w:style>
  <w:style w:type="numbering" w:customStyle="1" w:styleId="ListBulletedIndented">
    <w:name w:val="List Bulleted Indented"/>
    <w:basedOn w:val="NoList"/>
    <w:rsid w:val="00D45DAA"/>
    <w:pPr>
      <w:numPr>
        <w:numId w:val="5"/>
      </w:numPr>
    </w:pPr>
  </w:style>
  <w:style w:type="numbering" w:customStyle="1" w:styleId="ListMultiple-choiceChar">
    <w:name w:val="List Multiple-choice Char"/>
    <w:basedOn w:val="NoList"/>
    <w:rsid w:val="00D45DAA"/>
    <w:pPr>
      <w:numPr>
        <w:numId w:val="6"/>
      </w:numPr>
    </w:pPr>
  </w:style>
  <w:style w:type="numbering" w:customStyle="1" w:styleId="ListOutlineChar">
    <w:name w:val="List Outline Char"/>
    <w:rsid w:val="00D45DAA"/>
    <w:pPr>
      <w:numPr>
        <w:numId w:val="7"/>
      </w:numPr>
    </w:pPr>
  </w:style>
  <w:style w:type="numbering" w:customStyle="1" w:styleId="ListOutlineNumbered">
    <w:name w:val="List Outline Numbered"/>
    <w:basedOn w:val="NoList"/>
    <w:rsid w:val="00D45DAA"/>
    <w:pPr>
      <w:numPr>
        <w:numId w:val="8"/>
      </w:numPr>
    </w:pPr>
  </w:style>
  <w:style w:type="paragraph" w:styleId="Subtitle">
    <w:name w:val="Subtitle"/>
    <w:basedOn w:val="Normal"/>
    <w:qFormat/>
    <w:rsid w:val="00FC748E"/>
    <w:pPr>
      <w:spacing w:before="120" w:after="120"/>
      <w:jc w:val="center"/>
      <w:outlineLvl w:val="1"/>
    </w:pPr>
    <w:rPr>
      <w:rFonts w:ascii="Arial" w:hAnsi="Arial" w:cs="Arial"/>
      <w:color w:val="000080"/>
    </w:rPr>
  </w:style>
  <w:style w:type="paragraph" w:customStyle="1" w:styleId="TableCentered">
    <w:name w:val="TableCentered"/>
    <w:basedOn w:val="Normal"/>
    <w:rsid w:val="00D45DAA"/>
    <w:pPr>
      <w:jc w:val="center"/>
    </w:pPr>
    <w:rPr>
      <w:szCs w:val="20"/>
    </w:rPr>
  </w:style>
  <w:style w:type="paragraph" w:customStyle="1" w:styleId="TableLeftText">
    <w:name w:val="TableLeftText"/>
    <w:basedOn w:val="Normal"/>
    <w:rsid w:val="00D45DAA"/>
  </w:style>
  <w:style w:type="paragraph" w:customStyle="1" w:styleId="TableRightText">
    <w:name w:val="TableRightText"/>
    <w:basedOn w:val="Normal"/>
    <w:rsid w:val="00D45DAA"/>
    <w:pPr>
      <w:jc w:val="right"/>
    </w:pPr>
  </w:style>
  <w:style w:type="paragraph" w:styleId="Title">
    <w:name w:val="Title"/>
    <w:basedOn w:val="Normal"/>
    <w:qFormat/>
    <w:rsid w:val="00FC748E"/>
    <w:pPr>
      <w:spacing w:before="240" w:after="60"/>
      <w:jc w:val="center"/>
      <w:outlineLvl w:val="0"/>
    </w:pPr>
    <w:rPr>
      <w:rFonts w:ascii="Arial" w:hAnsi="Arial" w:cs="Arial"/>
      <w:b/>
      <w:bCs/>
      <w:smallCaps/>
      <w:color w:val="000080"/>
      <w:kern w:val="28"/>
      <w:sz w:val="28"/>
      <w:szCs w:val="32"/>
    </w:rPr>
  </w:style>
  <w:style w:type="character" w:customStyle="1" w:styleId="Answer">
    <w:name w:val="Answer"/>
    <w:rsid w:val="00D45DAA"/>
    <w:rPr>
      <w:b/>
      <w:i/>
      <w:u w:val="single"/>
      <w:bdr w:val="none" w:sz="0" w:space="0" w:color="auto"/>
      <w:shd w:val="clear" w:color="auto" w:fill="FFFF99"/>
    </w:rPr>
  </w:style>
  <w:style w:type="paragraph" w:styleId="Bibliography">
    <w:name w:val="Bibliography"/>
    <w:basedOn w:val="Normal"/>
    <w:rsid w:val="00FC748E"/>
    <w:pPr>
      <w:spacing w:before="120" w:after="240"/>
      <w:ind w:left="720" w:hanging="720"/>
    </w:pPr>
  </w:style>
  <w:style w:type="paragraph" w:customStyle="1" w:styleId="CoverText">
    <w:name w:val="CoverText"/>
    <w:basedOn w:val="Normal"/>
    <w:rsid w:val="00FC748E"/>
    <w:pPr>
      <w:jc w:val="center"/>
    </w:pPr>
  </w:style>
  <w:style w:type="paragraph" w:styleId="BodyText3">
    <w:name w:val="Body Text 3"/>
    <w:basedOn w:val="Normal"/>
    <w:rsid w:val="00FC748E"/>
    <w:rPr>
      <w:sz w:val="18"/>
      <w:szCs w:val="16"/>
    </w:rPr>
  </w:style>
  <w:style w:type="paragraph" w:styleId="BodyTextFirstIndent">
    <w:name w:val="Body Text First Indent"/>
    <w:basedOn w:val="BodyText"/>
    <w:rsid w:val="00FC748E"/>
    <w:pPr>
      <w:spacing w:line="480" w:lineRule="auto"/>
      <w:ind w:firstLine="432"/>
    </w:pPr>
  </w:style>
  <w:style w:type="paragraph" w:styleId="FootnoteText">
    <w:name w:val="footnote text"/>
    <w:basedOn w:val="Normal"/>
    <w:rsid w:val="00FC748E"/>
    <w:rPr>
      <w:sz w:val="20"/>
      <w:szCs w:val="20"/>
    </w:rPr>
  </w:style>
  <w:style w:type="paragraph" w:customStyle="1" w:styleId="CenterTable">
    <w:name w:val="CenterTable"/>
    <w:basedOn w:val="Normal"/>
    <w:rsid w:val="00FC748E"/>
    <w:pPr>
      <w:jc w:val="center"/>
    </w:pPr>
  </w:style>
  <w:style w:type="numbering" w:customStyle="1" w:styleId="StyleOutlinenumbered">
    <w:name w:val="Style Outline numbered"/>
    <w:basedOn w:val="NoList"/>
    <w:rsid w:val="00FC748E"/>
    <w:pPr>
      <w:numPr>
        <w:numId w:val="9"/>
      </w:numPr>
    </w:pPr>
  </w:style>
  <w:style w:type="paragraph" w:customStyle="1" w:styleId="StyleLeft14">
    <w:name w:val="Style Left:  1.4&quot;"/>
    <w:basedOn w:val="Normal"/>
    <w:rsid w:val="00FC748E"/>
    <w:pPr>
      <w:ind w:left="2016"/>
    </w:pPr>
    <w:rPr>
      <w:szCs w:val="22"/>
    </w:rPr>
  </w:style>
  <w:style w:type="paragraph" w:customStyle="1" w:styleId="StyleLeft105">
    <w:name w:val="Style Left:  1.05&quot;"/>
    <w:basedOn w:val="Normal"/>
    <w:rsid w:val="00FC748E"/>
    <w:pPr>
      <w:ind w:left="1512"/>
    </w:pPr>
    <w:rPr>
      <w:szCs w:val="20"/>
    </w:rPr>
  </w:style>
  <w:style w:type="paragraph" w:customStyle="1" w:styleId="StyleLeft07">
    <w:name w:val="Style Left:  0.7&quot;"/>
    <w:basedOn w:val="Normal"/>
    <w:rsid w:val="00FC748E"/>
    <w:pPr>
      <w:ind w:left="1008"/>
    </w:pPr>
    <w:rPr>
      <w:szCs w:val="20"/>
    </w:rPr>
  </w:style>
  <w:style w:type="paragraph" w:customStyle="1" w:styleId="StyleLeft035">
    <w:name w:val="Style Left:  0.35&quot;"/>
    <w:basedOn w:val="Normal"/>
    <w:rsid w:val="00FC748E"/>
    <w:pPr>
      <w:ind w:left="504"/>
    </w:pPr>
    <w:rPr>
      <w:szCs w:val="20"/>
    </w:rPr>
  </w:style>
  <w:style w:type="paragraph" w:customStyle="1" w:styleId="Indentedlist">
    <w:name w:val="Indented list"/>
    <w:basedOn w:val="Normal"/>
    <w:rsid w:val="00FC748E"/>
    <w:pPr>
      <w:numPr>
        <w:numId w:val="2"/>
      </w:numPr>
      <w:tabs>
        <w:tab w:val="clear" w:pos="1008"/>
        <w:tab w:val="num" w:pos="360"/>
      </w:tabs>
      <w:ind w:left="0" w:firstLine="0"/>
    </w:pPr>
    <w:rPr>
      <w:szCs w:val="22"/>
    </w:rPr>
  </w:style>
  <w:style w:type="paragraph" w:styleId="List">
    <w:name w:val="List"/>
    <w:basedOn w:val="Normal"/>
    <w:rsid w:val="00FC748E"/>
    <w:pPr>
      <w:numPr>
        <w:numId w:val="3"/>
      </w:numPr>
      <w:tabs>
        <w:tab w:val="clear" w:pos="504"/>
        <w:tab w:val="num" w:pos="360"/>
      </w:tabs>
      <w:ind w:left="0" w:firstLine="0"/>
    </w:pPr>
    <w:rPr>
      <w:szCs w:val="22"/>
    </w:rPr>
  </w:style>
  <w:style w:type="numbering" w:customStyle="1" w:styleId="StyleCharOutlinenumbered">
    <w:name w:val="Style Char Outline numbered"/>
    <w:basedOn w:val="NoList"/>
    <w:rsid w:val="00FC748E"/>
    <w:pPr>
      <w:numPr>
        <w:numId w:val="10"/>
      </w:numPr>
    </w:pPr>
  </w:style>
  <w:style w:type="paragraph" w:styleId="Footer">
    <w:name w:val="footer"/>
    <w:basedOn w:val="Normal"/>
    <w:rsid w:val="00FC748E"/>
    <w:pPr>
      <w:tabs>
        <w:tab w:val="center" w:pos="4320"/>
        <w:tab w:val="right" w:pos="9360"/>
      </w:tabs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D45DAA"/>
  </w:style>
  <w:style w:type="table" w:styleId="TableGrid">
    <w:name w:val="Table Grid"/>
    <w:basedOn w:val="TableNormal"/>
    <w:rsid w:val="00672A5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D0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06FF"/>
    <w:rPr>
      <w:rFonts w:ascii="Tahoma" w:hAnsi="Tahoma" w:cs="Tahoma"/>
      <w:kern w:val="22"/>
      <w:sz w:val="16"/>
      <w:szCs w:val="16"/>
    </w:rPr>
  </w:style>
  <w:style w:type="paragraph" w:customStyle="1" w:styleId="GCaptionBoldCentered">
    <w:name w:val="GCaptionBoldCentered"/>
    <w:basedOn w:val="Normal"/>
    <w:rsid w:val="00D45DAA"/>
    <w:pPr>
      <w:keepNext/>
      <w:jc w:val="center"/>
    </w:pPr>
    <w:rPr>
      <w:b/>
      <w:color w:val="000099"/>
      <w:sz w:val="24"/>
    </w:rPr>
  </w:style>
  <w:style w:type="character" w:styleId="Hyperlink">
    <w:name w:val="Hyperlink"/>
    <w:rsid w:val="00353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ohlso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deohlson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ode\AppData\Roaming\Microsoft\Templates\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3D404-16AE-4A6E-8E30-26DDE607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paper.dotx</Template>
  <TotalTime>211</TotalTime>
  <Pages>2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Statement Analysis: The Basic Spreadsheets</vt:lpstr>
    </vt:vector>
  </TitlesOfParts>
  <Manager>http://www.godeohlson.com</Manager>
  <Company>paper.dot</Company>
  <LinksUpToDate>false</LinksUpToDate>
  <CharactersWithSpaces>15559</CharactersWithSpaces>
  <SharedDoc>false</SharedDoc>
  <HLinks>
    <vt:vector size="6" baseType="variant">
      <vt:variant>
        <vt:i4>2752545</vt:i4>
      </vt:variant>
      <vt:variant>
        <vt:i4>6</vt:i4>
      </vt:variant>
      <vt:variant>
        <vt:i4>0</vt:i4>
      </vt:variant>
      <vt:variant>
        <vt:i4>5</vt:i4>
      </vt:variant>
      <vt:variant>
        <vt:lpwstr>http://www.godeohlson.com/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Statement Analysis: The Basic Spreadsheets</dc:title>
  <dc:subject>Financial Statement Analysis and Valuation</dc:subject>
  <dc:creator>Dan Gode and James Ohlson</dc:creator>
  <cp:keywords/>
  <dc:description/>
  <cp:lastModifiedBy>Dan Gode</cp:lastModifiedBy>
  <cp:revision>83</cp:revision>
  <cp:lastPrinted>2012-01-23T17:13:00Z</cp:lastPrinted>
  <dcterms:created xsi:type="dcterms:W3CDTF">2012-01-08T20:33:00Z</dcterms:created>
  <dcterms:modified xsi:type="dcterms:W3CDTF">2016-09-03T23:01:00Z</dcterms:modified>
</cp:coreProperties>
</file>