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EB" w:rsidRDefault="00507C19">
      <w:pPr>
        <w:pStyle w:val="Title"/>
      </w:pPr>
      <w:bookmarkStart w:id="0" w:name="_GoBack"/>
      <w:bookmarkEnd w:id="0"/>
      <w:r>
        <w:t xml:space="preserve">Conceptual Foundation of the </w:t>
      </w:r>
      <w:r w:rsidR="00F01AEB">
        <w:t>Spreadsheets</w:t>
      </w:r>
    </w:p>
    <w:p w:rsidR="00F01AEB" w:rsidRDefault="000D0994">
      <w:pPr>
        <w:pStyle w:val="Subtitle"/>
      </w:pPr>
      <w:r>
        <w:t xml:space="preserve">© </w:t>
      </w:r>
      <w:r w:rsidR="00F01AEB">
        <w:t>Dan Gode and James Ohlson</w:t>
      </w:r>
    </w:p>
    <w:p w:rsidR="000536DD" w:rsidRDefault="000536DD" w:rsidP="000536DD">
      <w:pPr>
        <w:pStyle w:val="Heading1"/>
      </w:pPr>
      <w:r>
        <w:t>Conceptual underpinnings</w:t>
      </w:r>
    </w:p>
    <w:p w:rsidR="00B57201" w:rsidRDefault="00B57201" w:rsidP="00B57201">
      <w:pPr>
        <w:pStyle w:val="BodyText"/>
      </w:pPr>
      <w:r>
        <w:t xml:space="preserve">Anyone who considers using a set of spreadsheets will wonder about their conceptual underpinnings. Do they rest on certain core ideas, or are they better regarded as a set of independent tools without any links? The answer to this question is critical. In the former case, the user must understand and evaluate the appeal of the ideas. In the latter case, by contrast, the user would be more inclined to look at each spreadsheet independently and assess its potential usefulness on narrow pragmatic grounds. </w:t>
      </w:r>
    </w:p>
    <w:p w:rsidR="00B57201" w:rsidRDefault="0034348C" w:rsidP="00B57201">
      <w:pPr>
        <w:pStyle w:val="BodyText"/>
      </w:pPr>
      <w:r>
        <w:t xml:space="preserve">We have the first objective in mind: the spreadsheets rest on a set of core ideas. </w:t>
      </w:r>
      <w:r w:rsidR="00B57201">
        <w:t>Now the sequencing of the spreadsheets is significant because the ideas are hierarchical. Thus, the early spreadsheets rest on “core” concepts that must be fully internalized before one can move on to the more nuanced “second-order” set necessary to appreciate later spreadsheets.</w:t>
      </w:r>
    </w:p>
    <w:p w:rsidR="00C7723E" w:rsidRDefault="00C7723E" w:rsidP="000536DD">
      <w:pPr>
        <w:pStyle w:val="Heading2"/>
      </w:pPr>
      <w:r>
        <w:t>FSA1</w:t>
      </w:r>
    </w:p>
    <w:p w:rsidR="00C7723E" w:rsidRDefault="00C7723E" w:rsidP="00C7723E">
      <w:pPr>
        <w:pStyle w:val="BodyText"/>
        <w:numPr>
          <w:ilvl w:val="0"/>
          <w:numId w:val="11"/>
        </w:numPr>
      </w:pPr>
      <w:r>
        <w:t xml:space="preserve">A firm’s activities are split into either enterprise </w:t>
      </w:r>
      <w:r w:rsidR="00A40A0B">
        <w:t>or</w:t>
      </w:r>
      <w:r>
        <w:t xml:space="preserve"> financ</w:t>
      </w:r>
      <w:r w:rsidR="001826DA">
        <w:t>ial</w:t>
      </w:r>
      <w:r>
        <w:t xml:space="preserve"> activities. The two categories are exhaustive and mutually exclusive. </w:t>
      </w:r>
    </w:p>
    <w:p w:rsidR="00C7723E" w:rsidRDefault="00C7723E" w:rsidP="00C7723E">
      <w:pPr>
        <w:pStyle w:val="BodyText"/>
        <w:numPr>
          <w:ilvl w:val="1"/>
          <w:numId w:val="11"/>
        </w:numPr>
      </w:pPr>
      <w:r>
        <w:t>Net enterprise assets = enterprise assets – enterprise liabilities</w:t>
      </w:r>
    </w:p>
    <w:p w:rsidR="00C7723E" w:rsidRDefault="00C7723E" w:rsidP="00C7723E">
      <w:pPr>
        <w:pStyle w:val="BodyText"/>
        <w:numPr>
          <w:ilvl w:val="1"/>
          <w:numId w:val="11"/>
        </w:numPr>
      </w:pPr>
      <w:r>
        <w:t>Invested capital = equity + financial liabilities - financial assets</w:t>
      </w:r>
    </w:p>
    <w:p w:rsidR="00C7723E" w:rsidRDefault="00C7723E" w:rsidP="00C7723E">
      <w:pPr>
        <w:pStyle w:val="BodyText"/>
        <w:numPr>
          <w:ilvl w:val="1"/>
          <w:numId w:val="11"/>
        </w:numPr>
      </w:pPr>
      <w:r>
        <w:t>Net enterprise assets = invested capital</w:t>
      </w:r>
    </w:p>
    <w:p w:rsidR="00C7723E" w:rsidRDefault="00C7723E" w:rsidP="00C7723E">
      <w:pPr>
        <w:pStyle w:val="BodyText"/>
        <w:numPr>
          <w:ilvl w:val="1"/>
          <w:numId w:val="11"/>
        </w:numPr>
      </w:pPr>
      <w:r>
        <w:t>Financial activities do not create wealth except insofar they facilitate enterprise activities. In general, the classical Modigliani-Miller tenets apply. The market value of enterprise activities is independent of the</w:t>
      </w:r>
      <w:r w:rsidR="00376258">
        <w:t xml:space="preserve"> capital structure and financing transactions.</w:t>
      </w:r>
      <w:r>
        <w:t xml:space="preserve"> The market value of financial liabilities can be approximated by their book values. </w:t>
      </w:r>
    </w:p>
    <w:p w:rsidR="00637DB6" w:rsidRDefault="00C7723E" w:rsidP="00977D14">
      <w:pPr>
        <w:pStyle w:val="BodyText"/>
        <w:numPr>
          <w:ilvl w:val="0"/>
          <w:numId w:val="11"/>
        </w:numPr>
      </w:pPr>
      <w:r>
        <w:t xml:space="preserve">Enterprise cash flows = enterprise profit after tax – </w:t>
      </w:r>
      <w:r w:rsidR="00637DB6">
        <w:t>change in net enterprise assets</w:t>
      </w:r>
    </w:p>
    <w:p w:rsidR="00C7723E" w:rsidRDefault="00637DB6" w:rsidP="00637DB6">
      <w:pPr>
        <w:pStyle w:val="BodyText"/>
        <w:numPr>
          <w:ilvl w:val="1"/>
          <w:numId w:val="11"/>
        </w:numPr>
      </w:pPr>
      <w:r>
        <w:t xml:space="preserve">If net enterprise assets are a constant percentage of sales, then change in net enterprise assets = net enterprise assets as percent of sales * </w:t>
      </w:r>
      <w:r w:rsidR="00A70B1D">
        <w:t>change in sales</w:t>
      </w:r>
      <w:r>
        <w:t>.</w:t>
      </w:r>
    </w:p>
    <w:p w:rsidR="00C7723E" w:rsidRDefault="00C7723E" w:rsidP="00C7723E">
      <w:pPr>
        <w:pStyle w:val="BodyText"/>
        <w:numPr>
          <w:ilvl w:val="1"/>
          <w:numId w:val="11"/>
        </w:numPr>
      </w:pPr>
      <w:r>
        <w:t xml:space="preserve">Return on invested capital [aka return on net enterprise assets] = enterprise profit after tax/net enterprise assets = enterprise profit margin after tax/net enterprise assets </w:t>
      </w:r>
      <w:r w:rsidR="00B64B2C">
        <w:t>as percent of</w:t>
      </w:r>
      <w:r>
        <w:t xml:space="preserve"> sales.</w:t>
      </w:r>
    </w:p>
    <w:p w:rsidR="00C7723E" w:rsidRDefault="00C7723E" w:rsidP="00C7723E">
      <w:pPr>
        <w:pStyle w:val="BodyText"/>
        <w:numPr>
          <w:ilvl w:val="0"/>
          <w:numId w:val="11"/>
        </w:numPr>
      </w:pPr>
      <w:r>
        <w:t>ROE = ROIC + (ROIC – net interest rate after tax) * net financial liabilities/equity</w:t>
      </w:r>
    </w:p>
    <w:p w:rsidR="00C7723E" w:rsidRDefault="00C7723E" w:rsidP="000536DD">
      <w:pPr>
        <w:pStyle w:val="Heading2"/>
      </w:pPr>
      <w:r>
        <w:t>VAL1</w:t>
      </w:r>
    </w:p>
    <w:p w:rsidR="00C7723E" w:rsidRDefault="00C7723E" w:rsidP="00C7723E">
      <w:pPr>
        <w:pStyle w:val="BodyText"/>
        <w:numPr>
          <w:ilvl w:val="0"/>
          <w:numId w:val="11"/>
        </w:numPr>
      </w:pPr>
      <w:smartTag w:uri="urn:schemas-microsoft-com:office:smarttags" w:element="place">
        <w:smartTag w:uri="urn:schemas-microsoft-com:office:smarttags" w:element="City">
          <w:r>
            <w:t>Enterprise</w:t>
          </w:r>
        </w:smartTag>
      </w:smartTag>
      <w:r>
        <w:t xml:space="preserve"> value = PV of expected enterprise cash flows using the enterprise cost of capital (aka wacc) as the discount rate</w:t>
      </w:r>
    </w:p>
    <w:p w:rsidR="00977D14" w:rsidRDefault="00977D14" w:rsidP="00977D14">
      <w:pPr>
        <w:pStyle w:val="BodyText"/>
        <w:numPr>
          <w:ilvl w:val="0"/>
          <w:numId w:val="11"/>
        </w:numPr>
      </w:pPr>
      <w:r>
        <w:t>There are three – and only three – enterprise value drivers: sales and its growth, the enterprise profit margin after tax, the net enterprise assets relative to sales.</w:t>
      </w:r>
    </w:p>
    <w:p w:rsidR="00977D14" w:rsidRDefault="00977D14" w:rsidP="00977D14">
      <w:pPr>
        <w:pStyle w:val="BodyText"/>
        <w:numPr>
          <w:ilvl w:val="1"/>
          <w:numId w:val="11"/>
        </w:numPr>
      </w:pPr>
      <w:r>
        <w:t>The three value drivers determine the enterprise cash flows [aka unlevered free cash flows].</w:t>
      </w:r>
    </w:p>
    <w:p w:rsidR="00C7723E" w:rsidRDefault="00C7723E" w:rsidP="00C7723E">
      <w:pPr>
        <w:pStyle w:val="BodyText"/>
        <w:numPr>
          <w:ilvl w:val="0"/>
          <w:numId w:val="11"/>
        </w:numPr>
      </w:pPr>
      <w:r>
        <w:t>Financial activities are value neutral, i.e., Modigliani-Miller applies.</w:t>
      </w:r>
    </w:p>
    <w:p w:rsidR="00C7723E" w:rsidRDefault="00C7723E" w:rsidP="00C7723E">
      <w:pPr>
        <w:pStyle w:val="BodyText"/>
        <w:numPr>
          <w:ilvl w:val="0"/>
          <w:numId w:val="11"/>
        </w:numPr>
      </w:pPr>
      <w:r>
        <w:t>Equity value = enterprise value – fair value of net financial liabilities</w:t>
      </w:r>
    </w:p>
    <w:p w:rsidR="00C7723E" w:rsidRDefault="00C7723E" w:rsidP="000536DD">
      <w:pPr>
        <w:pStyle w:val="Heading2"/>
      </w:pPr>
      <w:r>
        <w:lastRenderedPageBreak/>
        <w:t>FSA2</w:t>
      </w:r>
    </w:p>
    <w:p w:rsidR="00C7723E" w:rsidRDefault="00C7723E" w:rsidP="00C7723E">
      <w:pPr>
        <w:pStyle w:val="BodyText"/>
        <w:numPr>
          <w:ilvl w:val="0"/>
          <w:numId w:val="11"/>
        </w:numPr>
      </w:pPr>
      <w:r>
        <w:t>The purpose of analyzing financial statements is to assess the firm’s record regarding the three key value drivers namely – enterprise profit margin after tax, net enterprise assets relative to sales, and sales growth. Such record is useful in predicting the future.</w:t>
      </w:r>
    </w:p>
    <w:p w:rsidR="00C7723E" w:rsidRDefault="00C7723E" w:rsidP="00C7723E">
      <w:pPr>
        <w:pStyle w:val="BodyText"/>
        <w:numPr>
          <w:ilvl w:val="1"/>
          <w:numId w:val="11"/>
        </w:numPr>
      </w:pPr>
      <w:r>
        <w:t>Distinguishing between recurring and non-recurring enterprise items is central to the forecasting of recurring enterprise profit margins.</w:t>
      </w:r>
    </w:p>
    <w:p w:rsidR="0028328B" w:rsidRDefault="0028328B" w:rsidP="000536DD">
      <w:pPr>
        <w:pStyle w:val="Heading2"/>
      </w:pPr>
      <w:r>
        <w:t>VAL2</w:t>
      </w:r>
    </w:p>
    <w:p w:rsidR="002976BA" w:rsidRDefault="002976BA" w:rsidP="00481D4F">
      <w:pPr>
        <w:pStyle w:val="BodyText"/>
        <w:numPr>
          <w:ilvl w:val="0"/>
          <w:numId w:val="11"/>
        </w:numPr>
      </w:pPr>
      <w:r>
        <w:t xml:space="preserve">PVED can be transformed to move from discounting expected distribution of wealth (dividends) to the expected creation of wealth (earnings and </w:t>
      </w:r>
      <w:r w:rsidR="00123CF3">
        <w:t xml:space="preserve">change in </w:t>
      </w:r>
      <w:r>
        <w:t>book values). The latter transformations lead to residual income valuation, RIV, and abnormal earnings growth (AEG) valuation.</w:t>
      </w:r>
      <w:r w:rsidR="00481D4F">
        <w:t xml:space="preserve"> Reverse engineering these transformations demonstrates how risk and growth move together.</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522"/>
        <w:gridCol w:w="3451"/>
        <w:gridCol w:w="3334"/>
      </w:tblGrid>
      <w:tr w:rsidR="00481D4F" w:rsidTr="00366A62">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CCECFF"/>
          </w:tcPr>
          <w:p w:rsidR="00481D4F" w:rsidRDefault="00481D4F" w:rsidP="00366A62">
            <w:pPr>
              <w:pStyle w:val="TableLeftText"/>
              <w:keepNext/>
              <w:jc w:val="left"/>
            </w:pPr>
            <w:r>
              <w:t>Transformation of DDM</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CCECFF"/>
          </w:tcPr>
          <w:p w:rsidR="00481D4F" w:rsidRDefault="00481D4F" w:rsidP="00366A62">
            <w:pPr>
              <w:pStyle w:val="TableLeftText"/>
              <w:keepNext/>
              <w:jc w:val="left"/>
            </w:pPr>
            <w:r>
              <w:t>Anchor: Starting point in valuation</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CCECFF"/>
          </w:tcPr>
          <w:p w:rsidR="00481D4F" w:rsidRDefault="00481D4F" w:rsidP="00366A62">
            <w:pPr>
              <w:pStyle w:val="TableLeftText"/>
              <w:keepNext/>
              <w:jc w:val="left"/>
            </w:pPr>
            <w:r>
              <w:t>Relative valuation metric</w:t>
            </w:r>
          </w:p>
        </w:tc>
      </w:tr>
      <w:tr w:rsidR="00481D4F" w:rsidTr="00366A62">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keepNext/>
              <w:jc w:val="left"/>
            </w:pPr>
            <w:r>
              <w:t>Dividend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keepNext/>
              <w:jc w:val="left"/>
            </w:pPr>
            <w:r>
              <w:t>Forthcoming dividend/cost of equity</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keepNext/>
              <w:jc w:val="left"/>
            </w:pPr>
            <w:r>
              <w:t>Price to forthcoming dividend ratio</w:t>
            </w:r>
          </w:p>
        </w:tc>
      </w:tr>
      <w:tr w:rsidR="00481D4F" w:rsidTr="00366A62">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keepNext/>
              <w:jc w:val="left"/>
            </w:pPr>
            <w:r>
              <w:t>Book value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keepNext/>
              <w:jc w:val="left"/>
            </w:pPr>
            <w:r>
              <w:t>Current book value</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keepNext/>
              <w:jc w:val="left"/>
            </w:pPr>
            <w:r>
              <w:t>Price to book ratio</w:t>
            </w:r>
          </w:p>
        </w:tc>
      </w:tr>
      <w:tr w:rsidR="00481D4F" w:rsidTr="00366A62">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jc w:val="left"/>
            </w:pPr>
            <w:r>
              <w:t>Earnings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jc w:val="left"/>
            </w:pPr>
            <w:r>
              <w:t>Forthcoming earnings/cost of equity</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jc w:val="left"/>
            </w:pPr>
            <w:r>
              <w:t>Price to forthcoming earnings ratio</w:t>
            </w:r>
          </w:p>
        </w:tc>
      </w:tr>
    </w:tbl>
    <w:p w:rsidR="00481D4F" w:rsidRDefault="00481D4F" w:rsidP="00481D4F">
      <w:pPr>
        <w:pStyle w:val="BodyText"/>
        <w:ind w:left="504"/>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522"/>
        <w:gridCol w:w="5788"/>
      </w:tblGrid>
      <w:tr w:rsidR="00481D4F" w:rsidTr="00366A62">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CCECFF"/>
          </w:tcPr>
          <w:p w:rsidR="00481D4F" w:rsidRDefault="00481D4F" w:rsidP="00366A62">
            <w:pPr>
              <w:pStyle w:val="TableLeftText"/>
              <w:keepNext/>
              <w:jc w:val="left"/>
            </w:pPr>
            <w:r>
              <w:t>Transformation of DDM</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CCECFF"/>
          </w:tcPr>
          <w:p w:rsidR="00481D4F" w:rsidRDefault="00481D4F" w:rsidP="00366A62">
            <w:pPr>
              <w:pStyle w:val="TableLeftText"/>
              <w:keepNext/>
              <w:jc w:val="left"/>
            </w:pPr>
            <w:r>
              <w:t>Popular names</w:t>
            </w:r>
          </w:p>
        </w:tc>
      </w:tr>
      <w:tr w:rsidR="00481D4F" w:rsidTr="00366A62">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keepNext/>
              <w:jc w:val="left"/>
            </w:pPr>
            <w:r>
              <w:t>Dividend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keepNext/>
              <w:jc w:val="left"/>
            </w:pPr>
            <w:r>
              <w:t>--</w:t>
            </w:r>
          </w:p>
        </w:tc>
      </w:tr>
      <w:tr w:rsidR="00481D4F" w:rsidTr="00366A62">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keepNext/>
              <w:jc w:val="left"/>
            </w:pPr>
            <w:r>
              <w:t>Book value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keepNext/>
              <w:jc w:val="left"/>
            </w:pPr>
            <w:r>
              <w:t>Residual income valuation model (RIV, RIM)</w:t>
            </w:r>
          </w:p>
          <w:p w:rsidR="00481D4F" w:rsidRDefault="00481D4F" w:rsidP="00366A62">
            <w:pPr>
              <w:pStyle w:val="TableLeftText"/>
              <w:keepNext/>
              <w:jc w:val="left"/>
            </w:pPr>
            <w:r>
              <w:t>A variation is called the economic value added model (EVA™)</w:t>
            </w:r>
          </w:p>
        </w:tc>
      </w:tr>
      <w:tr w:rsidR="00481D4F" w:rsidTr="00366A62">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jc w:val="left"/>
            </w:pPr>
            <w:r>
              <w:t>Earnings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481D4F" w:rsidRDefault="00481D4F" w:rsidP="00366A62">
            <w:pPr>
              <w:pStyle w:val="TableLeftText"/>
              <w:jc w:val="left"/>
            </w:pPr>
            <w:r>
              <w:t>Abnormal earnings growth model (AEG)</w:t>
            </w:r>
          </w:p>
        </w:tc>
      </w:tr>
    </w:tbl>
    <w:p w:rsidR="00C7723E" w:rsidRDefault="00C7723E" w:rsidP="000536DD">
      <w:pPr>
        <w:pStyle w:val="Heading2"/>
      </w:pPr>
      <w:r>
        <w:t>FSA3</w:t>
      </w:r>
    </w:p>
    <w:p w:rsidR="006048B8" w:rsidRDefault="00963158" w:rsidP="00C7723E">
      <w:pPr>
        <w:pStyle w:val="BodyText"/>
        <w:numPr>
          <w:ilvl w:val="0"/>
          <w:numId w:val="11"/>
        </w:numPr>
      </w:pPr>
      <w:r>
        <w:t>Multi-period ROE is defined as follows:</w:t>
      </w:r>
      <w:r w:rsidR="006048B8">
        <w:t xml:space="preserve"> </w:t>
      </w:r>
    </w:p>
    <w:tbl>
      <w:tblPr>
        <w:tblW w:w="0" w:type="auto"/>
        <w:tblInd w:w="619" w:type="dxa"/>
        <w:tblLook w:val="01E0" w:firstRow="1" w:lastRow="1" w:firstColumn="1" w:lastColumn="1" w:noHBand="0" w:noVBand="0"/>
      </w:tblPr>
      <w:tblGrid>
        <w:gridCol w:w="389"/>
        <w:gridCol w:w="8568"/>
      </w:tblGrid>
      <w:tr w:rsidR="00963158" w:rsidTr="00B266D2">
        <w:tc>
          <w:tcPr>
            <w:tcW w:w="389" w:type="dxa"/>
            <w:vMerge w:val="restart"/>
            <w:shd w:val="clear" w:color="auto" w:fill="auto"/>
            <w:vAlign w:val="center"/>
          </w:tcPr>
          <w:p w:rsidR="00963158" w:rsidRDefault="00963158" w:rsidP="00963158">
            <w:pPr>
              <w:pStyle w:val="BodyText"/>
            </w:pPr>
            <w:r>
              <w:t>=</w:t>
            </w:r>
          </w:p>
        </w:tc>
        <w:tc>
          <w:tcPr>
            <w:tcW w:w="8568" w:type="dxa"/>
            <w:tcBorders>
              <w:bottom w:val="single" w:sz="4" w:space="0" w:color="auto"/>
            </w:tcBorders>
            <w:shd w:val="clear" w:color="auto" w:fill="auto"/>
          </w:tcPr>
          <w:p w:rsidR="00963158" w:rsidRDefault="00963158" w:rsidP="00B266D2">
            <w:pPr>
              <w:pStyle w:val="BodyText"/>
              <w:jc w:val="center"/>
            </w:pPr>
            <w:r>
              <w:t>cumulative earnings over the period plus earnings foregone over dividends paid in the period</w:t>
            </w:r>
          </w:p>
        </w:tc>
      </w:tr>
      <w:tr w:rsidR="00963158" w:rsidTr="00B266D2">
        <w:tc>
          <w:tcPr>
            <w:tcW w:w="389" w:type="dxa"/>
            <w:vMerge/>
            <w:shd w:val="clear" w:color="auto" w:fill="auto"/>
          </w:tcPr>
          <w:p w:rsidR="00963158" w:rsidRDefault="00963158" w:rsidP="00963158">
            <w:pPr>
              <w:pStyle w:val="BodyText"/>
            </w:pPr>
          </w:p>
        </w:tc>
        <w:tc>
          <w:tcPr>
            <w:tcW w:w="8568" w:type="dxa"/>
            <w:tcBorders>
              <w:top w:val="single" w:sz="4" w:space="0" w:color="auto"/>
            </w:tcBorders>
            <w:shd w:val="clear" w:color="auto" w:fill="auto"/>
          </w:tcPr>
          <w:p w:rsidR="00963158" w:rsidRDefault="00963158" w:rsidP="00B266D2">
            <w:pPr>
              <w:pStyle w:val="BodyText"/>
              <w:jc w:val="center"/>
            </w:pPr>
            <w:r>
              <w:t>beginning of period book value</w:t>
            </w:r>
          </w:p>
        </w:tc>
      </w:tr>
    </w:tbl>
    <w:p w:rsidR="005B1F1C" w:rsidRDefault="005B1F1C" w:rsidP="005B1F1C"/>
    <w:p w:rsidR="005B1F1C" w:rsidRDefault="005B1F1C" w:rsidP="00B90EAB">
      <w:pPr>
        <w:pStyle w:val="Left1"/>
      </w:pPr>
      <w:r>
        <w:t>This measure of equity profitability can be applied for a varying number of years going back in time. It relates closely to a firm’s internal rate of return per books.</w:t>
      </w:r>
    </w:p>
    <w:p w:rsidR="00B90EAB" w:rsidRDefault="00B90EAB" w:rsidP="00B90EAB">
      <w:pPr>
        <w:pStyle w:val="6pointSpacer"/>
      </w:pPr>
    </w:p>
    <w:p w:rsidR="005B1F1C" w:rsidRDefault="005B1F1C" w:rsidP="00B90EAB">
      <w:pPr>
        <w:pStyle w:val="BodyText"/>
        <w:numPr>
          <w:ilvl w:val="1"/>
          <w:numId w:val="11"/>
        </w:numPr>
      </w:pPr>
      <w:r>
        <w:t>The measure smoothes out year-by-year variations in ROE and it reduces the effect of a firm’s accounting conservatism.</w:t>
      </w:r>
    </w:p>
    <w:p w:rsidR="005B1F1C" w:rsidRDefault="005B1F1C" w:rsidP="00B90EAB">
      <w:pPr>
        <w:pStyle w:val="BodyText"/>
        <w:numPr>
          <w:ilvl w:val="1"/>
          <w:numId w:val="11"/>
        </w:numPr>
      </w:pPr>
      <w:r>
        <w:t>One can develop a similar measure of profitability by substituting a firm’s market value for its book value. One obtains a measure of the firm’s ability in the past to create wealth relative to its current market value.</w:t>
      </w:r>
    </w:p>
    <w:p w:rsidR="0028328B" w:rsidRDefault="0028328B" w:rsidP="000536DD">
      <w:pPr>
        <w:pStyle w:val="Heading2"/>
      </w:pPr>
      <w:r>
        <w:t>VAL3</w:t>
      </w:r>
    </w:p>
    <w:p w:rsidR="00336CD1" w:rsidRDefault="00336CD1" w:rsidP="00336CD1">
      <w:pPr>
        <w:pStyle w:val="BodyText"/>
        <w:numPr>
          <w:ilvl w:val="0"/>
          <w:numId w:val="11"/>
        </w:numPr>
      </w:pPr>
      <w:r>
        <w:t>Analysts’ forecasts of growth in EPS often serve as inputs in the estimation of equity value. These growth estimates are often far too optimistic due to presumed increase in the after tax profit margin.</w:t>
      </w:r>
    </w:p>
    <w:p w:rsidR="0028328B" w:rsidRDefault="00336CD1" w:rsidP="00336CD1">
      <w:pPr>
        <w:pStyle w:val="BodyText"/>
        <w:numPr>
          <w:ilvl w:val="1"/>
          <w:numId w:val="11"/>
        </w:numPr>
      </w:pPr>
      <w:r>
        <w:t>Earnings growth estimates are not comparable across firms due to differential dividend payouts. Growth estimates can be corrected for this factor.</w:t>
      </w:r>
      <w:r w:rsidR="0028328B">
        <w:t xml:space="preserve"> </w:t>
      </w:r>
    </w:p>
    <w:p w:rsidR="0028328B" w:rsidRDefault="0028328B" w:rsidP="000536DD">
      <w:pPr>
        <w:pStyle w:val="Heading2"/>
      </w:pPr>
      <w:r>
        <w:t>FSA4</w:t>
      </w:r>
    </w:p>
    <w:p w:rsidR="0028328B" w:rsidRDefault="0028328B" w:rsidP="0028328B">
      <w:pPr>
        <w:pStyle w:val="BodyText"/>
        <w:numPr>
          <w:ilvl w:val="0"/>
          <w:numId w:val="11"/>
        </w:numPr>
      </w:pPr>
      <w:r>
        <w:t xml:space="preserve">The growth in sales should generally mirror the growth in </w:t>
      </w:r>
      <w:r w:rsidR="00DE35E5">
        <w:t>net enterprise assets</w:t>
      </w:r>
      <w:r>
        <w:t xml:space="preserve">. If the growth in </w:t>
      </w:r>
      <w:r w:rsidR="00DE35E5">
        <w:t>net enterprise assets</w:t>
      </w:r>
      <w:r>
        <w:t xml:space="preserve"> has exceeded the growth in sales, then it makes sense to hypothesize that the future/subsequent profit margin will decline. The</w:t>
      </w:r>
      <w:r w:rsidR="00DE35E5">
        <w:t xml:space="preserve"> logic is straightforward: the net enterprise assets</w:t>
      </w:r>
      <w:r>
        <w:t xml:space="preserve"> must be expensed in subsequent periods.</w:t>
      </w:r>
    </w:p>
    <w:p w:rsidR="0028328B" w:rsidRDefault="0028328B" w:rsidP="0028328B">
      <w:pPr>
        <w:pStyle w:val="BodyText"/>
        <w:numPr>
          <w:ilvl w:val="0"/>
          <w:numId w:val="11"/>
        </w:numPr>
      </w:pPr>
      <w:r>
        <w:t>The analysis of a potential bias in the current profit margin depends on an identification of those assets/liabilities that are likely to cause measurement problems (and “manipulation”). Financial assets and liabilities are relatively problem free as compared to</w:t>
      </w:r>
      <w:r w:rsidR="00DE35E5">
        <w:t xml:space="preserve"> enterprise assets and liabilities</w:t>
      </w:r>
      <w:r>
        <w:t xml:space="preserve">. However, in this context one can argue that </w:t>
      </w:r>
      <w:r w:rsidR="00DE35E5">
        <w:t>some enterprise assets and liabilities</w:t>
      </w:r>
      <w:r>
        <w:t xml:space="preserve"> </w:t>
      </w:r>
      <w:r w:rsidR="00DE35E5">
        <w:t xml:space="preserve">such as </w:t>
      </w:r>
      <w:r>
        <w:t>accounts receivables and payables are also often relatively problem free.</w:t>
      </w:r>
    </w:p>
    <w:p w:rsidR="0028328B" w:rsidRDefault="0028328B" w:rsidP="000536DD">
      <w:pPr>
        <w:pStyle w:val="Heading2"/>
      </w:pPr>
      <w:r>
        <w:t>VAL4</w:t>
      </w:r>
    </w:p>
    <w:p w:rsidR="0064622F" w:rsidRDefault="0064622F" w:rsidP="0064622F">
      <w:pPr>
        <w:pStyle w:val="BodyText"/>
        <w:numPr>
          <w:ilvl w:val="0"/>
          <w:numId w:val="11"/>
        </w:numPr>
      </w:pPr>
      <w:r>
        <w:t>Growth and risk are the key explanatory variables of a forward PE.</w:t>
      </w:r>
    </w:p>
    <w:p w:rsidR="0064622F" w:rsidRDefault="0064622F" w:rsidP="0064622F">
      <w:pPr>
        <w:pStyle w:val="BodyText"/>
        <w:numPr>
          <w:ilvl w:val="1"/>
          <w:numId w:val="11"/>
        </w:numPr>
      </w:pPr>
      <w:r>
        <w:t xml:space="preserve">PEG ratios </w:t>
      </w:r>
      <w:r w:rsidR="00B1589F">
        <w:t>are a</w:t>
      </w:r>
      <w:r>
        <w:t xml:space="preserve"> popular indicator of mispricing </w:t>
      </w:r>
      <w:r w:rsidR="00B1589F">
        <w:t xml:space="preserve">even </w:t>
      </w:r>
      <w:r>
        <w:t xml:space="preserve">though </w:t>
      </w:r>
      <w:r w:rsidR="00B1589F">
        <w:t>they do not consider risk.</w:t>
      </w:r>
      <w:r>
        <w:t xml:space="preserve"> </w:t>
      </w:r>
    </w:p>
    <w:p w:rsidR="0064622F" w:rsidRDefault="0064622F" w:rsidP="0064622F">
      <w:pPr>
        <w:pStyle w:val="BodyText"/>
        <w:numPr>
          <w:ilvl w:val="1"/>
          <w:numId w:val="11"/>
        </w:numPr>
      </w:pPr>
      <w:r>
        <w:t>Cost of capital is inferable from financial forecasts if one stipulates a post horizon growth.</w:t>
      </w:r>
    </w:p>
    <w:p w:rsidR="0064622F" w:rsidRDefault="0064622F" w:rsidP="0064622F">
      <w:pPr>
        <w:pStyle w:val="BodyText"/>
        <w:numPr>
          <w:ilvl w:val="1"/>
          <w:numId w:val="11"/>
        </w:numPr>
      </w:pPr>
      <w:r>
        <w:t xml:space="preserve">Growth and risk should, on average, </w:t>
      </w:r>
      <w:r w:rsidR="00B1589F">
        <w:t xml:space="preserve">move </w:t>
      </w:r>
      <w:r>
        <w:t>together.</w:t>
      </w:r>
    </w:p>
    <w:p w:rsidR="0028328B" w:rsidRDefault="0064622F" w:rsidP="0064622F">
      <w:pPr>
        <w:pStyle w:val="BodyText"/>
        <w:numPr>
          <w:ilvl w:val="1"/>
          <w:numId w:val="11"/>
        </w:numPr>
      </w:pPr>
      <w:r>
        <w:t>A stock’s risk should relate to its inferred expected return (inferred cost of capital).</w:t>
      </w:r>
    </w:p>
    <w:sectPr w:rsidR="002832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4E5" w:rsidRDefault="006B44E5">
      <w:r>
        <w:separator/>
      </w:r>
    </w:p>
  </w:endnote>
  <w:endnote w:type="continuationSeparator" w:id="0">
    <w:p w:rsidR="006B44E5" w:rsidRDefault="006B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DC" w:rsidRDefault="00B039DC" w:rsidP="006133B8">
    <w:pPr>
      <w:pStyle w:val="Footer"/>
      <w:tabs>
        <w:tab w:val="clear" w:pos="4320"/>
      </w:tabs>
    </w:pPr>
    <w:r>
      <w:fldChar w:fldCharType="begin"/>
    </w:r>
    <w:r>
      <w:instrText xml:space="preserve"> DATE \@ "MMMM d, yyyy" </w:instrText>
    </w:r>
    <w:r>
      <w:fldChar w:fldCharType="separate"/>
    </w:r>
    <w:r w:rsidR="004254ED">
      <w:rPr>
        <w:noProof/>
      </w:rPr>
      <w:t>September 3, 2016</w:t>
    </w:r>
    <w:r>
      <w:fldChar w:fldCharType="end"/>
    </w:r>
    <w:r>
      <w:t xml:space="preserve"> Visit </w:t>
    </w:r>
    <w:hyperlink r:id="rId1" w:history="1">
      <w:r w:rsidRPr="00744C6D">
        <w:rPr>
          <w:rStyle w:val="Hyperlink"/>
        </w:rPr>
        <w:t>http://www.godeohlson.com/</w:t>
      </w:r>
    </w:hyperlink>
    <w:r>
      <w:t xml:space="preserve"> for updates.</w:t>
    </w:r>
    <w:r>
      <w:tab/>
    </w:r>
    <w:r>
      <w:fldChar w:fldCharType="begin"/>
    </w:r>
    <w:r>
      <w:instrText xml:space="preserve"> PAGE </w:instrText>
    </w:r>
    <w:r>
      <w:fldChar w:fldCharType="separate"/>
    </w:r>
    <w:r w:rsidR="004254E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4E5" w:rsidRDefault="006B44E5">
      <w:r>
        <w:separator/>
      </w:r>
    </w:p>
  </w:footnote>
  <w:footnote w:type="continuationSeparator" w:id="0">
    <w:p w:rsidR="006B44E5" w:rsidRDefault="006B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DC" w:rsidRDefault="00507C19" w:rsidP="006133B8">
    <w:pPr>
      <w:pStyle w:val="Header"/>
      <w:tabs>
        <w:tab w:val="clear" w:pos="4320"/>
      </w:tabs>
    </w:pPr>
    <w:r>
      <w:t>Conceptual Foundation of the Spreadsheets</w:t>
    </w:r>
    <w:r w:rsidR="00B039DC">
      <w:tab/>
    </w:r>
    <w:r w:rsidR="00B039DC">
      <w:rPr>
        <w:rStyle w:val="PageNumber"/>
      </w:rPr>
      <w:fldChar w:fldCharType="begin"/>
    </w:r>
    <w:r w:rsidR="00B039DC">
      <w:rPr>
        <w:rStyle w:val="PageNumber"/>
      </w:rPr>
      <w:instrText xml:space="preserve"> PAGE </w:instrText>
    </w:r>
    <w:r w:rsidR="00B039DC">
      <w:rPr>
        <w:rStyle w:val="PageNumber"/>
      </w:rPr>
      <w:fldChar w:fldCharType="separate"/>
    </w:r>
    <w:r w:rsidR="004254ED">
      <w:rPr>
        <w:rStyle w:val="PageNumber"/>
        <w:noProof/>
      </w:rPr>
      <w:t>1</w:t>
    </w:r>
    <w:r w:rsidR="00B039D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577"/>
    <w:multiLevelType w:val="multilevel"/>
    <w:tmpl w:val="0BDE7F6A"/>
    <w:numStyleLink w:val="StyleOutlinenumbered"/>
  </w:abstractNum>
  <w:abstractNum w:abstractNumId="1" w15:restartNumberingAfterBreak="0">
    <w:nsid w:val="0661555D"/>
    <w:multiLevelType w:val="multilevel"/>
    <w:tmpl w:val="8728A3A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1A6D07FD"/>
    <w:multiLevelType w:val="multilevel"/>
    <w:tmpl w:val="95D6D198"/>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3" w15:restartNumberingAfterBreak="0">
    <w:nsid w:val="207F64A6"/>
    <w:multiLevelType w:val="hybridMultilevel"/>
    <w:tmpl w:val="EFA2E2FA"/>
    <w:lvl w:ilvl="0" w:tplc="49C8F9BC">
      <w:start w:val="1"/>
      <w:numFmt w:val="bullet"/>
      <w:pStyle w:val="Indentedlist"/>
      <w:lvlText w:val=""/>
      <w:lvlJc w:val="left"/>
      <w:pPr>
        <w:tabs>
          <w:tab w:val="num" w:pos="1008"/>
        </w:tabs>
        <w:ind w:left="100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F0EF9"/>
    <w:multiLevelType w:val="multilevel"/>
    <w:tmpl w:val="0ADC1FC8"/>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F866A96"/>
    <w:multiLevelType w:val="multilevel"/>
    <w:tmpl w:val="E24C27B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6" w15:restartNumberingAfterBreak="0">
    <w:nsid w:val="378A61FE"/>
    <w:multiLevelType w:val="multilevel"/>
    <w:tmpl w:val="E30E3590"/>
    <w:styleLink w:val="List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B450AB2"/>
    <w:multiLevelType w:val="multilevel"/>
    <w:tmpl w:val="9A4CBF2E"/>
    <w:styleLink w:val="ListOutlineChar"/>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C8A3413"/>
    <w:multiLevelType w:val="hybridMultilevel"/>
    <w:tmpl w:val="73B0B4EA"/>
    <w:lvl w:ilvl="0" w:tplc="21D65D86">
      <w:start w:val="1"/>
      <w:numFmt w:val="bullet"/>
      <w:pStyle w:val="Lis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132E1"/>
    <w:multiLevelType w:val="multilevel"/>
    <w:tmpl w:val="0228F732"/>
    <w:styleLink w:val="ListMultiple-choiceChar"/>
    <w:lvl w:ilvl="0">
      <w:start w:val="1"/>
      <w:numFmt w:val="lowerLetter"/>
      <w:lvlText w:val="%1."/>
      <w:lvlJc w:val="left"/>
      <w:pPr>
        <w:tabs>
          <w:tab w:val="num" w:pos="1008"/>
        </w:tabs>
        <w:ind w:left="1008" w:hanging="504"/>
      </w:pPr>
      <w:rPr>
        <w:rFonts w:hint="default"/>
      </w:rPr>
    </w:lvl>
    <w:lvl w:ilvl="1">
      <w:start w:val="1"/>
      <w:numFmt w:val="upperLetter"/>
      <w:lvlText w:val="%2."/>
      <w:lvlJc w:val="left"/>
      <w:pPr>
        <w:tabs>
          <w:tab w:val="num" w:pos="1584"/>
        </w:tabs>
        <w:ind w:left="1224" w:firstLine="0"/>
      </w:pPr>
      <w:rPr>
        <w:rFonts w:hint="default"/>
      </w:rPr>
    </w:lvl>
    <w:lvl w:ilvl="2">
      <w:start w:val="1"/>
      <w:numFmt w:val="decimal"/>
      <w:lvlText w:val="%3."/>
      <w:lvlJc w:val="left"/>
      <w:pPr>
        <w:tabs>
          <w:tab w:val="num" w:pos="2304"/>
        </w:tabs>
        <w:ind w:left="1944" w:firstLine="0"/>
      </w:pPr>
      <w:rPr>
        <w:rFonts w:hint="default"/>
      </w:rPr>
    </w:lvl>
    <w:lvl w:ilvl="3">
      <w:start w:val="1"/>
      <w:numFmt w:val="lowerLetter"/>
      <w:lvlText w:val="%4)"/>
      <w:lvlJc w:val="left"/>
      <w:pPr>
        <w:tabs>
          <w:tab w:val="num" w:pos="3024"/>
        </w:tabs>
        <w:ind w:left="2664" w:firstLine="0"/>
      </w:pPr>
      <w:rPr>
        <w:rFonts w:hint="default"/>
      </w:rPr>
    </w:lvl>
    <w:lvl w:ilvl="4">
      <w:start w:val="1"/>
      <w:numFmt w:val="decimal"/>
      <w:lvlText w:val="(%5)"/>
      <w:lvlJc w:val="left"/>
      <w:pPr>
        <w:tabs>
          <w:tab w:val="num" w:pos="3744"/>
        </w:tabs>
        <w:ind w:left="3384" w:firstLine="0"/>
      </w:pPr>
      <w:rPr>
        <w:rFonts w:hint="default"/>
      </w:rPr>
    </w:lvl>
    <w:lvl w:ilvl="5">
      <w:start w:val="1"/>
      <w:numFmt w:val="lowerLetter"/>
      <w:lvlText w:val="(%6)"/>
      <w:lvlJc w:val="left"/>
      <w:pPr>
        <w:tabs>
          <w:tab w:val="num" w:pos="4464"/>
        </w:tabs>
        <w:ind w:left="4104" w:firstLine="0"/>
      </w:pPr>
      <w:rPr>
        <w:rFonts w:hint="default"/>
      </w:rPr>
    </w:lvl>
    <w:lvl w:ilvl="6">
      <w:start w:val="1"/>
      <w:numFmt w:val="lowerRoman"/>
      <w:lvlText w:val="(%7)"/>
      <w:lvlJc w:val="left"/>
      <w:pPr>
        <w:tabs>
          <w:tab w:val="num" w:pos="5184"/>
        </w:tabs>
        <w:ind w:left="4824" w:firstLine="0"/>
      </w:pPr>
      <w:rPr>
        <w:rFonts w:hint="default"/>
      </w:rPr>
    </w:lvl>
    <w:lvl w:ilvl="7">
      <w:start w:val="1"/>
      <w:numFmt w:val="lowerLetter"/>
      <w:lvlText w:val="(%8)"/>
      <w:lvlJc w:val="left"/>
      <w:pPr>
        <w:tabs>
          <w:tab w:val="num" w:pos="5904"/>
        </w:tabs>
        <w:ind w:left="5544" w:firstLine="0"/>
      </w:pPr>
      <w:rPr>
        <w:rFonts w:hint="default"/>
      </w:rPr>
    </w:lvl>
    <w:lvl w:ilvl="8">
      <w:start w:val="1"/>
      <w:numFmt w:val="lowerRoman"/>
      <w:lvlText w:val="(%9)"/>
      <w:lvlJc w:val="left"/>
      <w:pPr>
        <w:tabs>
          <w:tab w:val="num" w:pos="6624"/>
        </w:tabs>
        <w:ind w:left="6264" w:firstLine="0"/>
      </w:pPr>
      <w:rPr>
        <w:rFonts w:hint="default"/>
      </w:rPr>
    </w:lvl>
  </w:abstractNum>
  <w:abstractNum w:abstractNumId="10" w15:restartNumberingAfterBreak="0">
    <w:nsid w:val="42DA5FB4"/>
    <w:multiLevelType w:val="multilevel"/>
    <w:tmpl w:val="22883D72"/>
    <w:numStyleLink w:val="ListBulletedIndented"/>
  </w:abstractNum>
  <w:abstractNum w:abstractNumId="11" w15:restartNumberingAfterBreak="0">
    <w:nsid w:val="47705053"/>
    <w:multiLevelType w:val="multilevel"/>
    <w:tmpl w:val="0BDE7F6A"/>
    <w:numStyleLink w:val="StyleOutlinenumbered"/>
  </w:abstractNum>
  <w:abstractNum w:abstractNumId="12" w15:restartNumberingAfterBreak="0">
    <w:nsid w:val="55DF06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83D7305"/>
    <w:multiLevelType w:val="multilevel"/>
    <w:tmpl w:val="0BDE7F6A"/>
    <w:numStyleLink w:val="StyleOutlinenumbered"/>
  </w:abstractNum>
  <w:abstractNum w:abstractNumId="14" w15:restartNumberingAfterBreak="0">
    <w:nsid w:val="598A3D4F"/>
    <w:multiLevelType w:val="multilevel"/>
    <w:tmpl w:val="0BDE7F6A"/>
    <w:numStyleLink w:val="StyleOutlinenumbered"/>
  </w:abstractNum>
  <w:abstractNum w:abstractNumId="15" w15:restartNumberingAfterBreak="0">
    <w:nsid w:val="6025499B"/>
    <w:multiLevelType w:val="multilevel"/>
    <w:tmpl w:val="6CB026C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16" w15:restartNumberingAfterBreak="0">
    <w:nsid w:val="61B70552"/>
    <w:multiLevelType w:val="multilevel"/>
    <w:tmpl w:val="29529492"/>
    <w:numStyleLink w:val="ListBulleted"/>
  </w:abstractNum>
  <w:abstractNum w:abstractNumId="17" w15:restartNumberingAfterBreak="0">
    <w:nsid w:val="658C08DB"/>
    <w:multiLevelType w:val="multilevel"/>
    <w:tmpl w:val="0BDE7F6A"/>
    <w:styleLink w:val="Style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6E070B3"/>
    <w:multiLevelType w:val="multilevel"/>
    <w:tmpl w:val="29529492"/>
    <w:styleLink w:val="ListBulleted"/>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D048A3"/>
    <w:multiLevelType w:val="multilevel"/>
    <w:tmpl w:val="22883D72"/>
    <w:styleLink w:val="ListBulletedIndented"/>
    <w:lvl w:ilvl="0">
      <w:start w:val="1"/>
      <w:numFmt w:val="bullet"/>
      <w:lvlText w:val=""/>
      <w:lvlJc w:val="left"/>
      <w:pPr>
        <w:tabs>
          <w:tab w:val="num" w:pos="1008"/>
        </w:tabs>
        <w:ind w:left="1008" w:hanging="504"/>
      </w:pPr>
      <w:rPr>
        <w:rFonts w:ascii="Wingdings" w:hAnsi="Wingdings" w:hint="default"/>
      </w:rPr>
    </w:lvl>
    <w:lvl w:ilvl="1">
      <w:start w:val="1"/>
      <w:numFmt w:val="bullet"/>
      <w:lvlText w:val=""/>
      <w:lvlJc w:val="left"/>
      <w:pPr>
        <w:tabs>
          <w:tab w:val="num" w:pos="1512"/>
        </w:tabs>
        <w:ind w:left="1512" w:hanging="504"/>
      </w:pPr>
      <w:rPr>
        <w:rFonts w:ascii="Wingdings" w:hAnsi="Wingdings" w:hint="default"/>
      </w:rPr>
    </w:lvl>
    <w:lvl w:ilvl="2">
      <w:start w:val="1"/>
      <w:numFmt w:val="bullet"/>
      <w:lvlText w:val=""/>
      <w:lvlJc w:val="left"/>
      <w:pPr>
        <w:tabs>
          <w:tab w:val="num" w:pos="2016"/>
        </w:tabs>
        <w:ind w:left="2016" w:hanging="504"/>
      </w:pPr>
      <w:rPr>
        <w:rFonts w:ascii="Wingdings" w:hAnsi="Wingdings" w:hint="default"/>
      </w:rPr>
    </w:lvl>
    <w:lvl w:ilvl="3">
      <w:start w:val="1"/>
      <w:numFmt w:val="bullet"/>
      <w:lvlText w:val=""/>
      <w:lvlJc w:val="left"/>
      <w:pPr>
        <w:tabs>
          <w:tab w:val="num" w:pos="2520"/>
        </w:tabs>
        <w:ind w:left="2520" w:hanging="504"/>
      </w:pPr>
      <w:rPr>
        <w:rFonts w:ascii="Wingdings" w:hAnsi="Wingdings" w:hint="default"/>
      </w:rPr>
    </w:lvl>
    <w:lvl w:ilvl="4">
      <w:start w:val="1"/>
      <w:numFmt w:val="bullet"/>
      <w:lvlText w:val=""/>
      <w:lvlJc w:val="left"/>
      <w:pPr>
        <w:tabs>
          <w:tab w:val="num" w:pos="2304"/>
        </w:tabs>
        <w:ind w:left="2304" w:hanging="360"/>
      </w:pPr>
      <w:rPr>
        <w:rFonts w:ascii="Symbol" w:hAnsi="Symbol" w:hint="default"/>
      </w:rPr>
    </w:lvl>
    <w:lvl w:ilvl="5">
      <w:start w:val="1"/>
      <w:numFmt w:val="bullet"/>
      <w:lvlText w:val=""/>
      <w:lvlJc w:val="left"/>
      <w:pPr>
        <w:tabs>
          <w:tab w:val="num" w:pos="2664"/>
        </w:tabs>
        <w:ind w:left="2664" w:hanging="360"/>
      </w:pPr>
      <w:rPr>
        <w:rFonts w:ascii="Wingdings" w:hAnsi="Wingdings" w:hint="default"/>
      </w:rPr>
    </w:lvl>
    <w:lvl w:ilvl="6">
      <w:start w:val="1"/>
      <w:numFmt w:val="bullet"/>
      <w:lvlText w:val=""/>
      <w:lvlJc w:val="left"/>
      <w:pPr>
        <w:tabs>
          <w:tab w:val="num" w:pos="3024"/>
        </w:tabs>
        <w:ind w:left="3024" w:hanging="360"/>
      </w:pPr>
      <w:rPr>
        <w:rFonts w:ascii="Wingdings" w:hAnsi="Wingdings" w:hint="default"/>
      </w:rPr>
    </w:lvl>
    <w:lvl w:ilvl="7">
      <w:start w:val="1"/>
      <w:numFmt w:val="bullet"/>
      <w:lvlText w:val=""/>
      <w:lvlJc w:val="left"/>
      <w:pPr>
        <w:tabs>
          <w:tab w:val="num" w:pos="3384"/>
        </w:tabs>
        <w:ind w:left="3384" w:hanging="360"/>
      </w:pPr>
      <w:rPr>
        <w:rFonts w:ascii="Symbol" w:hAnsi="Symbol" w:hint="default"/>
      </w:rPr>
    </w:lvl>
    <w:lvl w:ilvl="8">
      <w:start w:val="1"/>
      <w:numFmt w:val="bullet"/>
      <w:lvlText w:val=""/>
      <w:lvlJc w:val="left"/>
      <w:pPr>
        <w:tabs>
          <w:tab w:val="num" w:pos="3744"/>
        </w:tabs>
        <w:ind w:left="3744" w:hanging="360"/>
      </w:pPr>
      <w:rPr>
        <w:rFonts w:ascii="Symbol" w:hAnsi="Symbol" w:hint="default"/>
      </w:rPr>
    </w:lvl>
  </w:abstractNum>
  <w:abstractNum w:abstractNumId="20" w15:restartNumberingAfterBreak="0">
    <w:nsid w:val="6D7E59F0"/>
    <w:multiLevelType w:val="multilevel"/>
    <w:tmpl w:val="50EE0E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1DB3044"/>
    <w:multiLevelType w:val="multilevel"/>
    <w:tmpl w:val="9A4CBF2E"/>
    <w:styleLink w:val="StyleCharOutlinenumbered"/>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8A35D45"/>
    <w:multiLevelType w:val="multilevel"/>
    <w:tmpl w:val="0BDE7F6A"/>
    <w:numStyleLink w:val="StyleOutlinenumbered"/>
  </w:abstractNum>
  <w:abstractNum w:abstractNumId="23" w15:restartNumberingAfterBreak="0">
    <w:nsid w:val="7E002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3"/>
  </w:num>
  <w:num w:numId="3">
    <w:abstractNumId w:val="8"/>
  </w:num>
  <w:num w:numId="4">
    <w:abstractNumId w:val="18"/>
  </w:num>
  <w:num w:numId="5">
    <w:abstractNumId w:val="19"/>
  </w:num>
  <w:num w:numId="6">
    <w:abstractNumId w:val="9"/>
  </w:num>
  <w:num w:numId="7">
    <w:abstractNumId w:val="7"/>
  </w:num>
  <w:num w:numId="8">
    <w:abstractNumId w:val="6"/>
  </w:num>
  <w:num w:numId="9">
    <w:abstractNumId w:val="17"/>
  </w:num>
  <w:num w:numId="10">
    <w:abstractNumId w:val="21"/>
  </w:num>
  <w:num w:numId="11">
    <w:abstractNumId w:val="16"/>
  </w:num>
  <w:num w:numId="12">
    <w:abstractNumId w:val="10"/>
  </w:num>
  <w:num w:numId="13">
    <w:abstractNumId w:val="0"/>
  </w:num>
  <w:num w:numId="14">
    <w:abstractNumId w:val="1"/>
  </w:num>
  <w:num w:numId="15">
    <w:abstractNumId w:val="2"/>
  </w:num>
  <w:num w:numId="16">
    <w:abstractNumId w:val="4"/>
  </w:num>
  <w:num w:numId="17">
    <w:abstractNumId w:val="15"/>
  </w:num>
  <w:num w:numId="18">
    <w:abstractNumId w:val="11"/>
  </w:num>
  <w:num w:numId="19">
    <w:abstractNumId w:val="5"/>
  </w:num>
  <w:num w:numId="20">
    <w:abstractNumId w:val="22"/>
  </w:num>
  <w:num w:numId="21">
    <w:abstractNumId w:val="13"/>
  </w:num>
  <w:num w:numId="22">
    <w:abstractNumId w:val="14"/>
  </w:num>
  <w:num w:numId="23">
    <w:abstractNumId w:val="23"/>
  </w:num>
  <w:num w:numId="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A4"/>
    <w:rsid w:val="0000080C"/>
    <w:rsid w:val="000018D8"/>
    <w:rsid w:val="00002938"/>
    <w:rsid w:val="00003619"/>
    <w:rsid w:val="00003EAB"/>
    <w:rsid w:val="00004B65"/>
    <w:rsid w:val="00016E4A"/>
    <w:rsid w:val="00024AED"/>
    <w:rsid w:val="00024C43"/>
    <w:rsid w:val="00024F17"/>
    <w:rsid w:val="00024FA4"/>
    <w:rsid w:val="00027B9B"/>
    <w:rsid w:val="00036E91"/>
    <w:rsid w:val="00041099"/>
    <w:rsid w:val="00044B4A"/>
    <w:rsid w:val="000536DD"/>
    <w:rsid w:val="0005615F"/>
    <w:rsid w:val="00057703"/>
    <w:rsid w:val="00062028"/>
    <w:rsid w:val="00063ECC"/>
    <w:rsid w:val="00064AA2"/>
    <w:rsid w:val="000650D4"/>
    <w:rsid w:val="00072ADF"/>
    <w:rsid w:val="00074202"/>
    <w:rsid w:val="00077C60"/>
    <w:rsid w:val="00080625"/>
    <w:rsid w:val="00081431"/>
    <w:rsid w:val="00082FC6"/>
    <w:rsid w:val="000902A8"/>
    <w:rsid w:val="0009115B"/>
    <w:rsid w:val="00091F53"/>
    <w:rsid w:val="00093A13"/>
    <w:rsid w:val="000A1467"/>
    <w:rsid w:val="000A17A7"/>
    <w:rsid w:val="000A2812"/>
    <w:rsid w:val="000A4C1E"/>
    <w:rsid w:val="000B1D30"/>
    <w:rsid w:val="000B2E3D"/>
    <w:rsid w:val="000B3F5E"/>
    <w:rsid w:val="000B7088"/>
    <w:rsid w:val="000C0BB3"/>
    <w:rsid w:val="000C1A5E"/>
    <w:rsid w:val="000C2345"/>
    <w:rsid w:val="000C4430"/>
    <w:rsid w:val="000D0994"/>
    <w:rsid w:val="000D35D3"/>
    <w:rsid w:val="000D5F0A"/>
    <w:rsid w:val="000E10D5"/>
    <w:rsid w:val="000E2AB5"/>
    <w:rsid w:val="000F5C82"/>
    <w:rsid w:val="000F6E14"/>
    <w:rsid w:val="000F6E3D"/>
    <w:rsid w:val="000F7B13"/>
    <w:rsid w:val="000F7E19"/>
    <w:rsid w:val="00102831"/>
    <w:rsid w:val="00103B4E"/>
    <w:rsid w:val="001073F9"/>
    <w:rsid w:val="001109C1"/>
    <w:rsid w:val="001222B8"/>
    <w:rsid w:val="00123CF3"/>
    <w:rsid w:val="00130579"/>
    <w:rsid w:val="00131F61"/>
    <w:rsid w:val="00132868"/>
    <w:rsid w:val="00132FE1"/>
    <w:rsid w:val="00136584"/>
    <w:rsid w:val="001434C8"/>
    <w:rsid w:val="0015094C"/>
    <w:rsid w:val="00152CB5"/>
    <w:rsid w:val="0015343F"/>
    <w:rsid w:val="00154F0F"/>
    <w:rsid w:val="0015599C"/>
    <w:rsid w:val="00157DE0"/>
    <w:rsid w:val="00160EAC"/>
    <w:rsid w:val="00170EA8"/>
    <w:rsid w:val="001723B1"/>
    <w:rsid w:val="001745EE"/>
    <w:rsid w:val="00174629"/>
    <w:rsid w:val="00177798"/>
    <w:rsid w:val="00180B51"/>
    <w:rsid w:val="001826DA"/>
    <w:rsid w:val="001826F8"/>
    <w:rsid w:val="00185B75"/>
    <w:rsid w:val="001907A9"/>
    <w:rsid w:val="001933FC"/>
    <w:rsid w:val="001940B9"/>
    <w:rsid w:val="00196592"/>
    <w:rsid w:val="001A1131"/>
    <w:rsid w:val="001A1C7C"/>
    <w:rsid w:val="001A24C0"/>
    <w:rsid w:val="001A778D"/>
    <w:rsid w:val="001B07B2"/>
    <w:rsid w:val="001B0B76"/>
    <w:rsid w:val="001C3EFD"/>
    <w:rsid w:val="001D43CE"/>
    <w:rsid w:val="001D5DE7"/>
    <w:rsid w:val="001D627C"/>
    <w:rsid w:val="001E274D"/>
    <w:rsid w:val="001E40D4"/>
    <w:rsid w:val="002047BE"/>
    <w:rsid w:val="00204FC7"/>
    <w:rsid w:val="00207354"/>
    <w:rsid w:val="002118F4"/>
    <w:rsid w:val="00213BD1"/>
    <w:rsid w:val="002177BB"/>
    <w:rsid w:val="0022036A"/>
    <w:rsid w:val="00223A15"/>
    <w:rsid w:val="0022423F"/>
    <w:rsid w:val="002260C7"/>
    <w:rsid w:val="00234BF4"/>
    <w:rsid w:val="002351BD"/>
    <w:rsid w:val="0023536A"/>
    <w:rsid w:val="002401E1"/>
    <w:rsid w:val="00241173"/>
    <w:rsid w:val="002422C0"/>
    <w:rsid w:val="00245605"/>
    <w:rsid w:val="002507EB"/>
    <w:rsid w:val="0026021B"/>
    <w:rsid w:val="00265D7F"/>
    <w:rsid w:val="002679C6"/>
    <w:rsid w:val="002725C1"/>
    <w:rsid w:val="0028328B"/>
    <w:rsid w:val="002834A0"/>
    <w:rsid w:val="00283DC6"/>
    <w:rsid w:val="002852AA"/>
    <w:rsid w:val="00286890"/>
    <w:rsid w:val="00291D3E"/>
    <w:rsid w:val="00293F3B"/>
    <w:rsid w:val="002976BA"/>
    <w:rsid w:val="002978F9"/>
    <w:rsid w:val="002A3030"/>
    <w:rsid w:val="002A3D53"/>
    <w:rsid w:val="002A4E21"/>
    <w:rsid w:val="002B3973"/>
    <w:rsid w:val="002B5332"/>
    <w:rsid w:val="002B6BDA"/>
    <w:rsid w:val="002C188E"/>
    <w:rsid w:val="002C374C"/>
    <w:rsid w:val="002D11DC"/>
    <w:rsid w:val="002D1F20"/>
    <w:rsid w:val="002D2ED7"/>
    <w:rsid w:val="002E0717"/>
    <w:rsid w:val="002E28E7"/>
    <w:rsid w:val="002F2A0A"/>
    <w:rsid w:val="002F2C53"/>
    <w:rsid w:val="002F2D81"/>
    <w:rsid w:val="002F5547"/>
    <w:rsid w:val="00303C6B"/>
    <w:rsid w:val="00304C4F"/>
    <w:rsid w:val="00305BDA"/>
    <w:rsid w:val="00305E71"/>
    <w:rsid w:val="00307C8F"/>
    <w:rsid w:val="0031053D"/>
    <w:rsid w:val="00312365"/>
    <w:rsid w:val="00313115"/>
    <w:rsid w:val="00315362"/>
    <w:rsid w:val="00315A61"/>
    <w:rsid w:val="00320170"/>
    <w:rsid w:val="00320EA6"/>
    <w:rsid w:val="003210ED"/>
    <w:rsid w:val="0032209A"/>
    <w:rsid w:val="00323942"/>
    <w:rsid w:val="0032667C"/>
    <w:rsid w:val="003307C8"/>
    <w:rsid w:val="00330E3F"/>
    <w:rsid w:val="00331FDB"/>
    <w:rsid w:val="0033221D"/>
    <w:rsid w:val="003347F8"/>
    <w:rsid w:val="00335DFA"/>
    <w:rsid w:val="00336AF0"/>
    <w:rsid w:val="00336CD1"/>
    <w:rsid w:val="0034046F"/>
    <w:rsid w:val="003406F2"/>
    <w:rsid w:val="003419FC"/>
    <w:rsid w:val="0034348C"/>
    <w:rsid w:val="00345035"/>
    <w:rsid w:val="0034563B"/>
    <w:rsid w:val="003456F8"/>
    <w:rsid w:val="00350AA4"/>
    <w:rsid w:val="00353547"/>
    <w:rsid w:val="00353B97"/>
    <w:rsid w:val="00353DA5"/>
    <w:rsid w:val="00354337"/>
    <w:rsid w:val="00363129"/>
    <w:rsid w:val="00366F92"/>
    <w:rsid w:val="00372670"/>
    <w:rsid w:val="00373596"/>
    <w:rsid w:val="0037459F"/>
    <w:rsid w:val="00375161"/>
    <w:rsid w:val="00376258"/>
    <w:rsid w:val="00376F13"/>
    <w:rsid w:val="00385C16"/>
    <w:rsid w:val="00385FAE"/>
    <w:rsid w:val="0038636D"/>
    <w:rsid w:val="00390BC4"/>
    <w:rsid w:val="003A0386"/>
    <w:rsid w:val="003A16BF"/>
    <w:rsid w:val="003A1EC4"/>
    <w:rsid w:val="003A2995"/>
    <w:rsid w:val="003A36B5"/>
    <w:rsid w:val="003A50EA"/>
    <w:rsid w:val="003A7679"/>
    <w:rsid w:val="003B1BFE"/>
    <w:rsid w:val="003B7D35"/>
    <w:rsid w:val="003C616F"/>
    <w:rsid w:val="003D1509"/>
    <w:rsid w:val="003D4125"/>
    <w:rsid w:val="003D4C83"/>
    <w:rsid w:val="003E14EC"/>
    <w:rsid w:val="003E19D9"/>
    <w:rsid w:val="003E7575"/>
    <w:rsid w:val="003E7BD3"/>
    <w:rsid w:val="003F0A0D"/>
    <w:rsid w:val="00402914"/>
    <w:rsid w:val="00403251"/>
    <w:rsid w:val="004064A0"/>
    <w:rsid w:val="00407ACF"/>
    <w:rsid w:val="004117A9"/>
    <w:rsid w:val="00413C4C"/>
    <w:rsid w:val="00417208"/>
    <w:rsid w:val="004254ED"/>
    <w:rsid w:val="004264F3"/>
    <w:rsid w:val="00430BFE"/>
    <w:rsid w:val="00433C89"/>
    <w:rsid w:val="00436C8B"/>
    <w:rsid w:val="004377FB"/>
    <w:rsid w:val="00437BC4"/>
    <w:rsid w:val="004406F2"/>
    <w:rsid w:val="00444B56"/>
    <w:rsid w:val="0045021E"/>
    <w:rsid w:val="004510B7"/>
    <w:rsid w:val="00452380"/>
    <w:rsid w:val="00452C54"/>
    <w:rsid w:val="004542F5"/>
    <w:rsid w:val="00454FAE"/>
    <w:rsid w:val="004550BD"/>
    <w:rsid w:val="00455C2D"/>
    <w:rsid w:val="004611D8"/>
    <w:rsid w:val="004624F0"/>
    <w:rsid w:val="00465B55"/>
    <w:rsid w:val="00472E99"/>
    <w:rsid w:val="004818EE"/>
    <w:rsid w:val="00481D4F"/>
    <w:rsid w:val="00482F8D"/>
    <w:rsid w:val="004852B0"/>
    <w:rsid w:val="00485A4C"/>
    <w:rsid w:val="00485CC4"/>
    <w:rsid w:val="00485F0D"/>
    <w:rsid w:val="0048634C"/>
    <w:rsid w:val="00494923"/>
    <w:rsid w:val="004A524A"/>
    <w:rsid w:val="004A5480"/>
    <w:rsid w:val="004B22A5"/>
    <w:rsid w:val="004C0538"/>
    <w:rsid w:val="004C32EF"/>
    <w:rsid w:val="004C4C94"/>
    <w:rsid w:val="004C4D9D"/>
    <w:rsid w:val="004C5EE1"/>
    <w:rsid w:val="004D5EF8"/>
    <w:rsid w:val="004E0799"/>
    <w:rsid w:val="004E25EA"/>
    <w:rsid w:val="004E378A"/>
    <w:rsid w:val="004E5648"/>
    <w:rsid w:val="004F2831"/>
    <w:rsid w:val="004F6756"/>
    <w:rsid w:val="005055BA"/>
    <w:rsid w:val="00507C19"/>
    <w:rsid w:val="00507E6F"/>
    <w:rsid w:val="00510474"/>
    <w:rsid w:val="00514078"/>
    <w:rsid w:val="005174FC"/>
    <w:rsid w:val="005219D5"/>
    <w:rsid w:val="0052304F"/>
    <w:rsid w:val="00524E87"/>
    <w:rsid w:val="00525AAC"/>
    <w:rsid w:val="005261B2"/>
    <w:rsid w:val="00526447"/>
    <w:rsid w:val="00527002"/>
    <w:rsid w:val="00536C36"/>
    <w:rsid w:val="0054617F"/>
    <w:rsid w:val="005519CD"/>
    <w:rsid w:val="00552A0D"/>
    <w:rsid w:val="005556BC"/>
    <w:rsid w:val="00555B3C"/>
    <w:rsid w:val="00556B58"/>
    <w:rsid w:val="0055731C"/>
    <w:rsid w:val="00557E1D"/>
    <w:rsid w:val="00560B68"/>
    <w:rsid w:val="00560E7A"/>
    <w:rsid w:val="00561538"/>
    <w:rsid w:val="0056219B"/>
    <w:rsid w:val="00562303"/>
    <w:rsid w:val="0057503C"/>
    <w:rsid w:val="0057732C"/>
    <w:rsid w:val="00577C19"/>
    <w:rsid w:val="0058124A"/>
    <w:rsid w:val="00582B81"/>
    <w:rsid w:val="00591173"/>
    <w:rsid w:val="00591FDA"/>
    <w:rsid w:val="0059290E"/>
    <w:rsid w:val="00594037"/>
    <w:rsid w:val="005954E6"/>
    <w:rsid w:val="005A6211"/>
    <w:rsid w:val="005B14D2"/>
    <w:rsid w:val="005B1F1C"/>
    <w:rsid w:val="005B6478"/>
    <w:rsid w:val="005C0C8A"/>
    <w:rsid w:val="005C530C"/>
    <w:rsid w:val="005C71F3"/>
    <w:rsid w:val="005C7BF6"/>
    <w:rsid w:val="005D10E7"/>
    <w:rsid w:val="005D12FB"/>
    <w:rsid w:val="005D2548"/>
    <w:rsid w:val="005D4BE4"/>
    <w:rsid w:val="005D5F62"/>
    <w:rsid w:val="005D7416"/>
    <w:rsid w:val="005E29DA"/>
    <w:rsid w:val="005E53AD"/>
    <w:rsid w:val="005E69ED"/>
    <w:rsid w:val="005F15D5"/>
    <w:rsid w:val="005F1F5D"/>
    <w:rsid w:val="005F4E44"/>
    <w:rsid w:val="005F4F76"/>
    <w:rsid w:val="005F7815"/>
    <w:rsid w:val="00601994"/>
    <w:rsid w:val="00604192"/>
    <w:rsid w:val="006048B8"/>
    <w:rsid w:val="00604BDE"/>
    <w:rsid w:val="006055AA"/>
    <w:rsid w:val="00605B1E"/>
    <w:rsid w:val="00606D55"/>
    <w:rsid w:val="00610F93"/>
    <w:rsid w:val="006133B8"/>
    <w:rsid w:val="00613F99"/>
    <w:rsid w:val="00614FBE"/>
    <w:rsid w:val="0061761B"/>
    <w:rsid w:val="00624785"/>
    <w:rsid w:val="0062568F"/>
    <w:rsid w:val="00630901"/>
    <w:rsid w:val="00630C33"/>
    <w:rsid w:val="00631D5C"/>
    <w:rsid w:val="00637DB6"/>
    <w:rsid w:val="0064576B"/>
    <w:rsid w:val="0064622F"/>
    <w:rsid w:val="0065116B"/>
    <w:rsid w:val="006535C5"/>
    <w:rsid w:val="006538A6"/>
    <w:rsid w:val="006550A7"/>
    <w:rsid w:val="006725EA"/>
    <w:rsid w:val="00672A58"/>
    <w:rsid w:val="00675FFD"/>
    <w:rsid w:val="006779BA"/>
    <w:rsid w:val="006840F5"/>
    <w:rsid w:val="00687418"/>
    <w:rsid w:val="006939CD"/>
    <w:rsid w:val="006967F8"/>
    <w:rsid w:val="006973F1"/>
    <w:rsid w:val="006A1727"/>
    <w:rsid w:val="006A365B"/>
    <w:rsid w:val="006B44E5"/>
    <w:rsid w:val="006B7727"/>
    <w:rsid w:val="006C274F"/>
    <w:rsid w:val="006C3ED7"/>
    <w:rsid w:val="006C6BD1"/>
    <w:rsid w:val="006D196E"/>
    <w:rsid w:val="006D35A3"/>
    <w:rsid w:val="006D4541"/>
    <w:rsid w:val="006E1F93"/>
    <w:rsid w:val="006E3107"/>
    <w:rsid w:val="006E471E"/>
    <w:rsid w:val="006E76D6"/>
    <w:rsid w:val="006F1E49"/>
    <w:rsid w:val="006F2EA0"/>
    <w:rsid w:val="006F398D"/>
    <w:rsid w:val="006F66BE"/>
    <w:rsid w:val="00700691"/>
    <w:rsid w:val="007038A0"/>
    <w:rsid w:val="00705C43"/>
    <w:rsid w:val="00706553"/>
    <w:rsid w:val="0071019F"/>
    <w:rsid w:val="007149E7"/>
    <w:rsid w:val="0071614B"/>
    <w:rsid w:val="00717BC7"/>
    <w:rsid w:val="00721516"/>
    <w:rsid w:val="00722F9A"/>
    <w:rsid w:val="0072625F"/>
    <w:rsid w:val="007272B4"/>
    <w:rsid w:val="00730CDE"/>
    <w:rsid w:val="0073596D"/>
    <w:rsid w:val="00745000"/>
    <w:rsid w:val="00752A90"/>
    <w:rsid w:val="00754F80"/>
    <w:rsid w:val="00756ACB"/>
    <w:rsid w:val="007645D5"/>
    <w:rsid w:val="00772EAB"/>
    <w:rsid w:val="007735B9"/>
    <w:rsid w:val="0077515D"/>
    <w:rsid w:val="00775482"/>
    <w:rsid w:val="00776915"/>
    <w:rsid w:val="0078252D"/>
    <w:rsid w:val="0078319C"/>
    <w:rsid w:val="007831DE"/>
    <w:rsid w:val="00790700"/>
    <w:rsid w:val="00790D93"/>
    <w:rsid w:val="00793271"/>
    <w:rsid w:val="00796D60"/>
    <w:rsid w:val="007A1F37"/>
    <w:rsid w:val="007A2E79"/>
    <w:rsid w:val="007B397B"/>
    <w:rsid w:val="007B59F4"/>
    <w:rsid w:val="007B7F30"/>
    <w:rsid w:val="007C532F"/>
    <w:rsid w:val="007C6D6B"/>
    <w:rsid w:val="007D23F8"/>
    <w:rsid w:val="007D23FF"/>
    <w:rsid w:val="007D3B9A"/>
    <w:rsid w:val="007E217C"/>
    <w:rsid w:val="007F1B62"/>
    <w:rsid w:val="007F2269"/>
    <w:rsid w:val="007F33B7"/>
    <w:rsid w:val="007F5DC3"/>
    <w:rsid w:val="007F67EE"/>
    <w:rsid w:val="008076D9"/>
    <w:rsid w:val="008107EA"/>
    <w:rsid w:val="00811192"/>
    <w:rsid w:val="00812723"/>
    <w:rsid w:val="0082151A"/>
    <w:rsid w:val="00826A2F"/>
    <w:rsid w:val="00832720"/>
    <w:rsid w:val="00833F06"/>
    <w:rsid w:val="00837F65"/>
    <w:rsid w:val="00840FA1"/>
    <w:rsid w:val="00842501"/>
    <w:rsid w:val="00843EF3"/>
    <w:rsid w:val="00844A54"/>
    <w:rsid w:val="008472D1"/>
    <w:rsid w:val="00847869"/>
    <w:rsid w:val="008505C4"/>
    <w:rsid w:val="00851CD4"/>
    <w:rsid w:val="00864084"/>
    <w:rsid w:val="00865E06"/>
    <w:rsid w:val="00866D5A"/>
    <w:rsid w:val="00867282"/>
    <w:rsid w:val="008678B1"/>
    <w:rsid w:val="00872350"/>
    <w:rsid w:val="008730AB"/>
    <w:rsid w:val="00877A63"/>
    <w:rsid w:val="00880D90"/>
    <w:rsid w:val="00884501"/>
    <w:rsid w:val="00886CB0"/>
    <w:rsid w:val="00892A96"/>
    <w:rsid w:val="00895B40"/>
    <w:rsid w:val="008965C4"/>
    <w:rsid w:val="008977C2"/>
    <w:rsid w:val="008A0D74"/>
    <w:rsid w:val="008A25E7"/>
    <w:rsid w:val="008A5384"/>
    <w:rsid w:val="008B410B"/>
    <w:rsid w:val="008B7895"/>
    <w:rsid w:val="008C174C"/>
    <w:rsid w:val="008C3AB6"/>
    <w:rsid w:val="008C6F1C"/>
    <w:rsid w:val="008D0A99"/>
    <w:rsid w:val="008D26D4"/>
    <w:rsid w:val="008D2BE5"/>
    <w:rsid w:val="008D5A03"/>
    <w:rsid w:val="008D7BA4"/>
    <w:rsid w:val="008E0368"/>
    <w:rsid w:val="008E0A54"/>
    <w:rsid w:val="008E28C4"/>
    <w:rsid w:val="008F29F9"/>
    <w:rsid w:val="008F3D73"/>
    <w:rsid w:val="00901999"/>
    <w:rsid w:val="00911C2A"/>
    <w:rsid w:val="0091497F"/>
    <w:rsid w:val="00914B1C"/>
    <w:rsid w:val="00916B97"/>
    <w:rsid w:val="00922BFA"/>
    <w:rsid w:val="009246DB"/>
    <w:rsid w:val="00926F18"/>
    <w:rsid w:val="00933DE9"/>
    <w:rsid w:val="00937106"/>
    <w:rsid w:val="00940493"/>
    <w:rsid w:val="00943AB2"/>
    <w:rsid w:val="00943E71"/>
    <w:rsid w:val="00951855"/>
    <w:rsid w:val="00957ADC"/>
    <w:rsid w:val="00962422"/>
    <w:rsid w:val="00963158"/>
    <w:rsid w:val="009656C5"/>
    <w:rsid w:val="00966767"/>
    <w:rsid w:val="0096694F"/>
    <w:rsid w:val="00967322"/>
    <w:rsid w:val="00971891"/>
    <w:rsid w:val="00975B79"/>
    <w:rsid w:val="00977D14"/>
    <w:rsid w:val="00980728"/>
    <w:rsid w:val="00981A54"/>
    <w:rsid w:val="00982959"/>
    <w:rsid w:val="00983DC5"/>
    <w:rsid w:val="00985BC3"/>
    <w:rsid w:val="009862F0"/>
    <w:rsid w:val="00987EE1"/>
    <w:rsid w:val="00990BAF"/>
    <w:rsid w:val="00992971"/>
    <w:rsid w:val="00993C7A"/>
    <w:rsid w:val="00994408"/>
    <w:rsid w:val="009949B4"/>
    <w:rsid w:val="009A41AC"/>
    <w:rsid w:val="009A46EB"/>
    <w:rsid w:val="009B4E60"/>
    <w:rsid w:val="009B5927"/>
    <w:rsid w:val="009C0287"/>
    <w:rsid w:val="009C08EC"/>
    <w:rsid w:val="009C7B21"/>
    <w:rsid w:val="009D55A2"/>
    <w:rsid w:val="009D55EE"/>
    <w:rsid w:val="009D6408"/>
    <w:rsid w:val="009D7272"/>
    <w:rsid w:val="009D73A1"/>
    <w:rsid w:val="009E0E01"/>
    <w:rsid w:val="009E38FF"/>
    <w:rsid w:val="009F00B9"/>
    <w:rsid w:val="00A005AB"/>
    <w:rsid w:val="00A01DA7"/>
    <w:rsid w:val="00A02BD1"/>
    <w:rsid w:val="00A0307A"/>
    <w:rsid w:val="00A05DEE"/>
    <w:rsid w:val="00A0608C"/>
    <w:rsid w:val="00A10C8B"/>
    <w:rsid w:val="00A1326B"/>
    <w:rsid w:val="00A14981"/>
    <w:rsid w:val="00A14F2A"/>
    <w:rsid w:val="00A15695"/>
    <w:rsid w:val="00A20F1C"/>
    <w:rsid w:val="00A239FA"/>
    <w:rsid w:val="00A2432D"/>
    <w:rsid w:val="00A32C01"/>
    <w:rsid w:val="00A33C3A"/>
    <w:rsid w:val="00A34218"/>
    <w:rsid w:val="00A34710"/>
    <w:rsid w:val="00A34EC1"/>
    <w:rsid w:val="00A34FFB"/>
    <w:rsid w:val="00A40A0B"/>
    <w:rsid w:val="00A43C05"/>
    <w:rsid w:val="00A44944"/>
    <w:rsid w:val="00A45CF0"/>
    <w:rsid w:val="00A520A5"/>
    <w:rsid w:val="00A53241"/>
    <w:rsid w:val="00A54AF6"/>
    <w:rsid w:val="00A57063"/>
    <w:rsid w:val="00A60803"/>
    <w:rsid w:val="00A60FCB"/>
    <w:rsid w:val="00A61323"/>
    <w:rsid w:val="00A66C32"/>
    <w:rsid w:val="00A70B1D"/>
    <w:rsid w:val="00A77AD6"/>
    <w:rsid w:val="00A836FD"/>
    <w:rsid w:val="00A877B7"/>
    <w:rsid w:val="00A879A7"/>
    <w:rsid w:val="00A90F29"/>
    <w:rsid w:val="00A910FB"/>
    <w:rsid w:val="00A95346"/>
    <w:rsid w:val="00AA1A4D"/>
    <w:rsid w:val="00AA4B74"/>
    <w:rsid w:val="00AA4B89"/>
    <w:rsid w:val="00AA6E80"/>
    <w:rsid w:val="00AB0286"/>
    <w:rsid w:val="00AB29DB"/>
    <w:rsid w:val="00AB2BFC"/>
    <w:rsid w:val="00AC0A1A"/>
    <w:rsid w:val="00AC0FD6"/>
    <w:rsid w:val="00AC1765"/>
    <w:rsid w:val="00AD6422"/>
    <w:rsid w:val="00AD7FF6"/>
    <w:rsid w:val="00AE1A68"/>
    <w:rsid w:val="00AE34E8"/>
    <w:rsid w:val="00AE7338"/>
    <w:rsid w:val="00AE7402"/>
    <w:rsid w:val="00AF3093"/>
    <w:rsid w:val="00AF68BE"/>
    <w:rsid w:val="00B039BF"/>
    <w:rsid w:val="00B039DC"/>
    <w:rsid w:val="00B05191"/>
    <w:rsid w:val="00B1589F"/>
    <w:rsid w:val="00B22500"/>
    <w:rsid w:val="00B25E95"/>
    <w:rsid w:val="00B266D2"/>
    <w:rsid w:val="00B2700A"/>
    <w:rsid w:val="00B273EB"/>
    <w:rsid w:val="00B3604D"/>
    <w:rsid w:val="00B360C4"/>
    <w:rsid w:val="00B3632F"/>
    <w:rsid w:val="00B37F10"/>
    <w:rsid w:val="00B40401"/>
    <w:rsid w:val="00B42BEA"/>
    <w:rsid w:val="00B430AE"/>
    <w:rsid w:val="00B45179"/>
    <w:rsid w:val="00B46A06"/>
    <w:rsid w:val="00B51CA9"/>
    <w:rsid w:val="00B52284"/>
    <w:rsid w:val="00B53EBA"/>
    <w:rsid w:val="00B57201"/>
    <w:rsid w:val="00B575F3"/>
    <w:rsid w:val="00B5785B"/>
    <w:rsid w:val="00B647A9"/>
    <w:rsid w:val="00B64B2C"/>
    <w:rsid w:val="00B65B23"/>
    <w:rsid w:val="00B673B8"/>
    <w:rsid w:val="00B7325E"/>
    <w:rsid w:val="00B73E87"/>
    <w:rsid w:val="00B768EE"/>
    <w:rsid w:val="00B90900"/>
    <w:rsid w:val="00B90EAB"/>
    <w:rsid w:val="00B9155A"/>
    <w:rsid w:val="00B9166D"/>
    <w:rsid w:val="00B92F41"/>
    <w:rsid w:val="00B946C4"/>
    <w:rsid w:val="00BA0731"/>
    <w:rsid w:val="00BA3C07"/>
    <w:rsid w:val="00BA4178"/>
    <w:rsid w:val="00BA42BE"/>
    <w:rsid w:val="00BA4556"/>
    <w:rsid w:val="00BA5C06"/>
    <w:rsid w:val="00BB7517"/>
    <w:rsid w:val="00BD06D6"/>
    <w:rsid w:val="00BD4A56"/>
    <w:rsid w:val="00BE057D"/>
    <w:rsid w:val="00BE5C0E"/>
    <w:rsid w:val="00BF21A9"/>
    <w:rsid w:val="00BF509D"/>
    <w:rsid w:val="00BF50DC"/>
    <w:rsid w:val="00C00294"/>
    <w:rsid w:val="00C00A0F"/>
    <w:rsid w:val="00C00E4E"/>
    <w:rsid w:val="00C0232B"/>
    <w:rsid w:val="00C02EF1"/>
    <w:rsid w:val="00C033A9"/>
    <w:rsid w:val="00C0739B"/>
    <w:rsid w:val="00C1661D"/>
    <w:rsid w:val="00C2034B"/>
    <w:rsid w:val="00C2122C"/>
    <w:rsid w:val="00C23D24"/>
    <w:rsid w:val="00C2547F"/>
    <w:rsid w:val="00C30DD0"/>
    <w:rsid w:val="00C3165A"/>
    <w:rsid w:val="00C40606"/>
    <w:rsid w:val="00C431FB"/>
    <w:rsid w:val="00C5202F"/>
    <w:rsid w:val="00C53BC8"/>
    <w:rsid w:val="00C6008A"/>
    <w:rsid w:val="00C60D60"/>
    <w:rsid w:val="00C65CA0"/>
    <w:rsid w:val="00C70258"/>
    <w:rsid w:val="00C72700"/>
    <w:rsid w:val="00C7525C"/>
    <w:rsid w:val="00C75C29"/>
    <w:rsid w:val="00C7723E"/>
    <w:rsid w:val="00C77C8F"/>
    <w:rsid w:val="00C825A2"/>
    <w:rsid w:val="00C8609E"/>
    <w:rsid w:val="00C86180"/>
    <w:rsid w:val="00C86E11"/>
    <w:rsid w:val="00C87E92"/>
    <w:rsid w:val="00C90401"/>
    <w:rsid w:val="00C912DA"/>
    <w:rsid w:val="00C925E2"/>
    <w:rsid w:val="00C935AC"/>
    <w:rsid w:val="00C967D6"/>
    <w:rsid w:val="00C96AC4"/>
    <w:rsid w:val="00C96F0A"/>
    <w:rsid w:val="00CA430F"/>
    <w:rsid w:val="00CA4D09"/>
    <w:rsid w:val="00CA522B"/>
    <w:rsid w:val="00CA7576"/>
    <w:rsid w:val="00CA77A5"/>
    <w:rsid w:val="00CB1CFA"/>
    <w:rsid w:val="00CB1DDF"/>
    <w:rsid w:val="00CB2663"/>
    <w:rsid w:val="00CB4A0F"/>
    <w:rsid w:val="00CB4F19"/>
    <w:rsid w:val="00CB5488"/>
    <w:rsid w:val="00CB758D"/>
    <w:rsid w:val="00CB7D63"/>
    <w:rsid w:val="00CC1F32"/>
    <w:rsid w:val="00CC4E1B"/>
    <w:rsid w:val="00CC5A62"/>
    <w:rsid w:val="00CD3358"/>
    <w:rsid w:val="00CD3EF3"/>
    <w:rsid w:val="00CD4070"/>
    <w:rsid w:val="00CE230D"/>
    <w:rsid w:val="00CF5E0F"/>
    <w:rsid w:val="00D0235C"/>
    <w:rsid w:val="00D02F9C"/>
    <w:rsid w:val="00D061F9"/>
    <w:rsid w:val="00D1170A"/>
    <w:rsid w:val="00D11C20"/>
    <w:rsid w:val="00D1286F"/>
    <w:rsid w:val="00D16A64"/>
    <w:rsid w:val="00D23D9D"/>
    <w:rsid w:val="00D2543B"/>
    <w:rsid w:val="00D31C81"/>
    <w:rsid w:val="00D33C2D"/>
    <w:rsid w:val="00D404F6"/>
    <w:rsid w:val="00D42705"/>
    <w:rsid w:val="00D42BCF"/>
    <w:rsid w:val="00D43F32"/>
    <w:rsid w:val="00D443E1"/>
    <w:rsid w:val="00D45DAA"/>
    <w:rsid w:val="00D461E3"/>
    <w:rsid w:val="00D46465"/>
    <w:rsid w:val="00D466B7"/>
    <w:rsid w:val="00D54168"/>
    <w:rsid w:val="00D54EFA"/>
    <w:rsid w:val="00D560B2"/>
    <w:rsid w:val="00D6002A"/>
    <w:rsid w:val="00D6023E"/>
    <w:rsid w:val="00D60B8B"/>
    <w:rsid w:val="00D700FB"/>
    <w:rsid w:val="00D73DBD"/>
    <w:rsid w:val="00D771F0"/>
    <w:rsid w:val="00D77FB7"/>
    <w:rsid w:val="00D81991"/>
    <w:rsid w:val="00D866BC"/>
    <w:rsid w:val="00D90FC2"/>
    <w:rsid w:val="00D927FE"/>
    <w:rsid w:val="00D92C86"/>
    <w:rsid w:val="00DB154C"/>
    <w:rsid w:val="00DB16CA"/>
    <w:rsid w:val="00DB34B1"/>
    <w:rsid w:val="00DB73AD"/>
    <w:rsid w:val="00DC56EE"/>
    <w:rsid w:val="00DC7D97"/>
    <w:rsid w:val="00DC7DBA"/>
    <w:rsid w:val="00DD52DC"/>
    <w:rsid w:val="00DE322B"/>
    <w:rsid w:val="00DE35E5"/>
    <w:rsid w:val="00DE488D"/>
    <w:rsid w:val="00DE66DB"/>
    <w:rsid w:val="00DF3639"/>
    <w:rsid w:val="00E001E9"/>
    <w:rsid w:val="00E00CEC"/>
    <w:rsid w:val="00E03693"/>
    <w:rsid w:val="00E037C1"/>
    <w:rsid w:val="00E04B81"/>
    <w:rsid w:val="00E04C8D"/>
    <w:rsid w:val="00E06D79"/>
    <w:rsid w:val="00E06F6F"/>
    <w:rsid w:val="00E0799B"/>
    <w:rsid w:val="00E110BF"/>
    <w:rsid w:val="00E11991"/>
    <w:rsid w:val="00E14AB2"/>
    <w:rsid w:val="00E161D2"/>
    <w:rsid w:val="00E2555B"/>
    <w:rsid w:val="00E25F46"/>
    <w:rsid w:val="00E32B30"/>
    <w:rsid w:val="00E4196E"/>
    <w:rsid w:val="00E51BA2"/>
    <w:rsid w:val="00E5425C"/>
    <w:rsid w:val="00E546D4"/>
    <w:rsid w:val="00E5554D"/>
    <w:rsid w:val="00E641DF"/>
    <w:rsid w:val="00E6543D"/>
    <w:rsid w:val="00E679CD"/>
    <w:rsid w:val="00E725E2"/>
    <w:rsid w:val="00E730C9"/>
    <w:rsid w:val="00E75769"/>
    <w:rsid w:val="00E82CB0"/>
    <w:rsid w:val="00E8300D"/>
    <w:rsid w:val="00E84F3C"/>
    <w:rsid w:val="00E85C56"/>
    <w:rsid w:val="00E90C12"/>
    <w:rsid w:val="00E932AA"/>
    <w:rsid w:val="00E940D3"/>
    <w:rsid w:val="00EA37CE"/>
    <w:rsid w:val="00EA5F4C"/>
    <w:rsid w:val="00EB293E"/>
    <w:rsid w:val="00EB53D8"/>
    <w:rsid w:val="00EC1C8F"/>
    <w:rsid w:val="00EC28F7"/>
    <w:rsid w:val="00EC687F"/>
    <w:rsid w:val="00ED2932"/>
    <w:rsid w:val="00ED2AE3"/>
    <w:rsid w:val="00ED4F6E"/>
    <w:rsid w:val="00ED5256"/>
    <w:rsid w:val="00EE322A"/>
    <w:rsid w:val="00EE7453"/>
    <w:rsid w:val="00EF5FDD"/>
    <w:rsid w:val="00EF62B8"/>
    <w:rsid w:val="00F01AEB"/>
    <w:rsid w:val="00F078CD"/>
    <w:rsid w:val="00F11021"/>
    <w:rsid w:val="00F115D8"/>
    <w:rsid w:val="00F13309"/>
    <w:rsid w:val="00F13BEC"/>
    <w:rsid w:val="00F1590B"/>
    <w:rsid w:val="00F24109"/>
    <w:rsid w:val="00F24A99"/>
    <w:rsid w:val="00F30F8B"/>
    <w:rsid w:val="00F3119E"/>
    <w:rsid w:val="00F34DF3"/>
    <w:rsid w:val="00F367C4"/>
    <w:rsid w:val="00F36E76"/>
    <w:rsid w:val="00F453A1"/>
    <w:rsid w:val="00F45A93"/>
    <w:rsid w:val="00F4761E"/>
    <w:rsid w:val="00F502DB"/>
    <w:rsid w:val="00F50683"/>
    <w:rsid w:val="00F507CD"/>
    <w:rsid w:val="00F50AEF"/>
    <w:rsid w:val="00F55518"/>
    <w:rsid w:val="00F56E9F"/>
    <w:rsid w:val="00F66729"/>
    <w:rsid w:val="00F719AE"/>
    <w:rsid w:val="00F74B44"/>
    <w:rsid w:val="00F75180"/>
    <w:rsid w:val="00F76740"/>
    <w:rsid w:val="00F8381D"/>
    <w:rsid w:val="00F8704D"/>
    <w:rsid w:val="00F9182F"/>
    <w:rsid w:val="00F97B73"/>
    <w:rsid w:val="00FA047F"/>
    <w:rsid w:val="00FA2BAE"/>
    <w:rsid w:val="00FA59B7"/>
    <w:rsid w:val="00FA7ECE"/>
    <w:rsid w:val="00FB08E1"/>
    <w:rsid w:val="00FB6887"/>
    <w:rsid w:val="00FC09E4"/>
    <w:rsid w:val="00FC0EE5"/>
    <w:rsid w:val="00FC163E"/>
    <w:rsid w:val="00FC3879"/>
    <w:rsid w:val="00FD0ECC"/>
    <w:rsid w:val="00FD3555"/>
    <w:rsid w:val="00FD3DC4"/>
    <w:rsid w:val="00FD4100"/>
    <w:rsid w:val="00FD4639"/>
    <w:rsid w:val="00FE1208"/>
    <w:rsid w:val="00FF0903"/>
    <w:rsid w:val="00FF2C86"/>
    <w:rsid w:val="00FF3069"/>
    <w:rsid w:val="00FF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F59111E2-B8F7-4BE6-9FF9-9337C70F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FDB"/>
    <w:pPr>
      <w:jc w:val="both"/>
    </w:pPr>
    <w:rPr>
      <w:kern w:val="22"/>
      <w:sz w:val="22"/>
      <w:szCs w:val="24"/>
    </w:rPr>
  </w:style>
  <w:style w:type="paragraph" w:styleId="Heading1">
    <w:name w:val="heading 1"/>
    <w:basedOn w:val="Normal"/>
    <w:next w:val="Normal"/>
    <w:qFormat/>
    <w:rsid w:val="00331FDB"/>
    <w:pPr>
      <w:keepNext/>
      <w:numPr>
        <w:numId w:val="1"/>
      </w:numPr>
      <w:spacing w:before="120" w:after="120"/>
      <w:outlineLvl w:val="0"/>
    </w:pPr>
    <w:rPr>
      <w:rFonts w:ascii="Arial" w:hAnsi="Arial"/>
      <w:b/>
      <w:bCs/>
      <w:color w:val="000080"/>
      <w:sz w:val="28"/>
      <w:szCs w:val="32"/>
    </w:rPr>
  </w:style>
  <w:style w:type="paragraph" w:styleId="Heading2">
    <w:name w:val="heading 2"/>
    <w:basedOn w:val="Normal"/>
    <w:next w:val="Normal"/>
    <w:qFormat/>
    <w:rsid w:val="00331FDB"/>
    <w:pPr>
      <w:keepNext/>
      <w:numPr>
        <w:ilvl w:val="1"/>
        <w:numId w:val="1"/>
      </w:numPr>
      <w:spacing w:before="240" w:after="60"/>
      <w:outlineLvl w:val="1"/>
    </w:pPr>
    <w:rPr>
      <w:rFonts w:ascii="Arial" w:hAnsi="Arial"/>
      <w:b/>
      <w:bCs/>
      <w:iCs/>
      <w:color w:val="000080"/>
      <w:sz w:val="24"/>
    </w:rPr>
  </w:style>
  <w:style w:type="paragraph" w:styleId="Heading3">
    <w:name w:val="heading 3"/>
    <w:basedOn w:val="Normal"/>
    <w:next w:val="Normal"/>
    <w:qFormat/>
    <w:rsid w:val="00331FDB"/>
    <w:pPr>
      <w:keepNext/>
      <w:numPr>
        <w:ilvl w:val="2"/>
        <w:numId w:val="1"/>
      </w:numPr>
      <w:spacing w:before="180" w:after="60"/>
      <w:outlineLvl w:val="2"/>
    </w:pPr>
    <w:rPr>
      <w:rFonts w:ascii="Arial" w:hAnsi="Arial" w:cs="Arial"/>
      <w:b/>
      <w:bCs/>
      <w:i/>
      <w:color w:val="000080"/>
    </w:rPr>
  </w:style>
  <w:style w:type="paragraph" w:styleId="Heading4">
    <w:name w:val="heading 4"/>
    <w:basedOn w:val="Normal"/>
    <w:next w:val="Normal"/>
    <w:qFormat/>
    <w:rsid w:val="00331FDB"/>
    <w:pPr>
      <w:keepNext/>
      <w:numPr>
        <w:ilvl w:val="3"/>
        <w:numId w:val="1"/>
      </w:numPr>
      <w:spacing w:before="120" w:after="60"/>
      <w:outlineLvl w:val="3"/>
    </w:pPr>
    <w:rPr>
      <w:b/>
      <w:bCs/>
      <w:kern w:val="0"/>
      <w:szCs w:val="28"/>
    </w:rPr>
  </w:style>
  <w:style w:type="paragraph" w:styleId="Heading5">
    <w:name w:val="heading 5"/>
    <w:basedOn w:val="Normal"/>
    <w:next w:val="Normal"/>
    <w:qFormat/>
    <w:rsid w:val="00331FDB"/>
    <w:pPr>
      <w:numPr>
        <w:ilvl w:val="4"/>
        <w:numId w:val="1"/>
      </w:numPr>
      <w:spacing w:before="240" w:after="60"/>
      <w:outlineLvl w:val="4"/>
    </w:pPr>
    <w:rPr>
      <w:b/>
      <w:bCs/>
      <w:i/>
      <w:iCs/>
      <w:sz w:val="26"/>
      <w:szCs w:val="26"/>
    </w:rPr>
  </w:style>
  <w:style w:type="paragraph" w:styleId="Heading6">
    <w:name w:val="heading 6"/>
    <w:basedOn w:val="Normal"/>
    <w:next w:val="Normal"/>
    <w:qFormat/>
    <w:rsid w:val="00331FDB"/>
    <w:pPr>
      <w:numPr>
        <w:ilvl w:val="5"/>
        <w:numId w:val="1"/>
      </w:numPr>
      <w:spacing w:before="240" w:after="60"/>
      <w:outlineLvl w:val="5"/>
    </w:pPr>
    <w:rPr>
      <w:b/>
      <w:bCs/>
      <w:szCs w:val="22"/>
    </w:rPr>
  </w:style>
  <w:style w:type="paragraph" w:styleId="Heading7">
    <w:name w:val="heading 7"/>
    <w:basedOn w:val="Normal"/>
    <w:next w:val="Normal"/>
    <w:qFormat/>
    <w:rsid w:val="00331FDB"/>
    <w:pPr>
      <w:numPr>
        <w:ilvl w:val="6"/>
        <w:numId w:val="1"/>
      </w:numPr>
      <w:spacing w:before="240" w:after="60"/>
      <w:outlineLvl w:val="6"/>
    </w:pPr>
  </w:style>
  <w:style w:type="paragraph" w:styleId="Heading8">
    <w:name w:val="heading 8"/>
    <w:basedOn w:val="Normal"/>
    <w:next w:val="Normal"/>
    <w:qFormat/>
    <w:rsid w:val="00331FDB"/>
    <w:pPr>
      <w:numPr>
        <w:ilvl w:val="7"/>
        <w:numId w:val="1"/>
      </w:numPr>
      <w:spacing w:before="240" w:after="60"/>
      <w:outlineLvl w:val="7"/>
    </w:pPr>
    <w:rPr>
      <w:i/>
      <w:iCs/>
    </w:rPr>
  </w:style>
  <w:style w:type="paragraph" w:styleId="Heading9">
    <w:name w:val="heading 9"/>
    <w:basedOn w:val="Normal"/>
    <w:next w:val="Normal"/>
    <w:qFormat/>
    <w:rsid w:val="00331FDB"/>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pointSpacer">
    <w:name w:val="6pointSpacer"/>
    <w:basedOn w:val="Normal"/>
    <w:rsid w:val="00D45DAA"/>
    <w:rPr>
      <w:sz w:val="12"/>
      <w:szCs w:val="12"/>
    </w:rPr>
  </w:style>
  <w:style w:type="paragraph" w:styleId="BodyText">
    <w:name w:val="Body Text"/>
    <w:basedOn w:val="Normal"/>
    <w:rsid w:val="00331FDB"/>
    <w:pPr>
      <w:spacing w:after="120"/>
    </w:pPr>
  </w:style>
  <w:style w:type="paragraph" w:styleId="Caption">
    <w:name w:val="caption"/>
    <w:basedOn w:val="Normal"/>
    <w:next w:val="Normal"/>
    <w:qFormat/>
    <w:rsid w:val="00331FDB"/>
    <w:pPr>
      <w:keepNext/>
      <w:spacing w:before="120" w:after="120"/>
    </w:pPr>
    <w:rPr>
      <w:b/>
      <w:bCs/>
      <w:szCs w:val="20"/>
    </w:rPr>
  </w:style>
  <w:style w:type="paragraph" w:customStyle="1" w:styleId="CenteredCaption">
    <w:name w:val="CenteredCaption"/>
    <w:basedOn w:val="Caption"/>
    <w:rsid w:val="00331FDB"/>
    <w:pPr>
      <w:jc w:val="center"/>
    </w:pPr>
  </w:style>
  <w:style w:type="character" w:customStyle="1" w:styleId="Emphasize">
    <w:name w:val="Emphasize"/>
    <w:rsid w:val="00331FDB"/>
    <w:rPr>
      <w:b/>
      <w:color w:val="000080"/>
    </w:rPr>
  </w:style>
  <w:style w:type="paragraph" w:styleId="Header">
    <w:name w:val="header"/>
    <w:basedOn w:val="Normal"/>
    <w:rsid w:val="00D45DAA"/>
    <w:pPr>
      <w:tabs>
        <w:tab w:val="center" w:pos="4320"/>
        <w:tab w:val="right" w:pos="9360"/>
      </w:tabs>
    </w:pPr>
    <w:rPr>
      <w:rFonts w:ascii="Arial" w:hAnsi="Arial"/>
      <w:sz w:val="16"/>
    </w:rPr>
  </w:style>
  <w:style w:type="character" w:customStyle="1" w:styleId="Italicize">
    <w:name w:val="Italicize"/>
    <w:rsid w:val="00D45DAA"/>
    <w:rPr>
      <w:i/>
      <w:color w:val="003399"/>
    </w:rPr>
  </w:style>
  <w:style w:type="paragraph" w:customStyle="1" w:styleId="Left1">
    <w:name w:val="Left:1"/>
    <w:basedOn w:val="Normal"/>
    <w:rsid w:val="00D45DAA"/>
    <w:pPr>
      <w:ind w:left="504"/>
    </w:pPr>
  </w:style>
  <w:style w:type="paragraph" w:customStyle="1" w:styleId="Left2">
    <w:name w:val="Left:2"/>
    <w:basedOn w:val="Normal"/>
    <w:rsid w:val="00D45DAA"/>
    <w:pPr>
      <w:ind w:left="1008"/>
    </w:pPr>
  </w:style>
  <w:style w:type="paragraph" w:customStyle="1" w:styleId="Left3">
    <w:name w:val="Left:3"/>
    <w:basedOn w:val="Normal"/>
    <w:rsid w:val="00D45DAA"/>
    <w:pPr>
      <w:ind w:left="1800"/>
    </w:pPr>
  </w:style>
  <w:style w:type="paragraph" w:customStyle="1" w:styleId="Left4">
    <w:name w:val="Left:4"/>
    <w:basedOn w:val="Normal"/>
    <w:rsid w:val="00D45DAA"/>
    <w:pPr>
      <w:ind w:left="2736"/>
    </w:pPr>
  </w:style>
  <w:style w:type="numbering" w:customStyle="1" w:styleId="ListBulleted">
    <w:name w:val="List Bulleted"/>
    <w:basedOn w:val="NoList"/>
    <w:rsid w:val="00331FDB"/>
    <w:pPr>
      <w:numPr>
        <w:numId w:val="4"/>
      </w:numPr>
    </w:pPr>
  </w:style>
  <w:style w:type="numbering" w:customStyle="1" w:styleId="ListBulletedIndented">
    <w:name w:val="List Bulleted Indented"/>
    <w:basedOn w:val="NoList"/>
    <w:rsid w:val="00D45DAA"/>
    <w:pPr>
      <w:numPr>
        <w:numId w:val="5"/>
      </w:numPr>
    </w:pPr>
  </w:style>
  <w:style w:type="numbering" w:customStyle="1" w:styleId="ListMultiple-choiceChar">
    <w:name w:val="List Multiple-choice Char"/>
    <w:basedOn w:val="NoList"/>
    <w:rsid w:val="00D45DAA"/>
    <w:pPr>
      <w:numPr>
        <w:numId w:val="6"/>
      </w:numPr>
    </w:pPr>
  </w:style>
  <w:style w:type="numbering" w:customStyle="1" w:styleId="ListOutlineChar">
    <w:name w:val="List Outline Char"/>
    <w:rsid w:val="00D45DAA"/>
    <w:pPr>
      <w:numPr>
        <w:numId w:val="7"/>
      </w:numPr>
    </w:pPr>
  </w:style>
  <w:style w:type="numbering" w:customStyle="1" w:styleId="ListOutlineNumbered">
    <w:name w:val="List Outline Numbered"/>
    <w:basedOn w:val="NoList"/>
    <w:rsid w:val="00D45DAA"/>
    <w:pPr>
      <w:numPr>
        <w:numId w:val="8"/>
      </w:numPr>
    </w:pPr>
  </w:style>
  <w:style w:type="paragraph" w:styleId="Subtitle">
    <w:name w:val="Subtitle"/>
    <w:basedOn w:val="Normal"/>
    <w:qFormat/>
    <w:rsid w:val="00331FDB"/>
    <w:pPr>
      <w:spacing w:before="120" w:after="120"/>
      <w:jc w:val="center"/>
      <w:outlineLvl w:val="1"/>
    </w:pPr>
    <w:rPr>
      <w:rFonts w:ascii="Arial" w:hAnsi="Arial" w:cs="Arial"/>
      <w:color w:val="000080"/>
    </w:rPr>
  </w:style>
  <w:style w:type="paragraph" w:customStyle="1" w:styleId="TableCentered">
    <w:name w:val="TableCentered"/>
    <w:basedOn w:val="Normal"/>
    <w:rsid w:val="00D45DAA"/>
    <w:pPr>
      <w:jc w:val="center"/>
    </w:pPr>
    <w:rPr>
      <w:szCs w:val="20"/>
    </w:rPr>
  </w:style>
  <w:style w:type="paragraph" w:customStyle="1" w:styleId="TableLeftText">
    <w:name w:val="TableLeftText"/>
    <w:basedOn w:val="Normal"/>
    <w:rsid w:val="00D45DAA"/>
  </w:style>
  <w:style w:type="paragraph" w:customStyle="1" w:styleId="TableRightText">
    <w:name w:val="TableRightText"/>
    <w:basedOn w:val="Normal"/>
    <w:rsid w:val="00D45DAA"/>
    <w:pPr>
      <w:jc w:val="right"/>
    </w:pPr>
  </w:style>
  <w:style w:type="paragraph" w:styleId="Title">
    <w:name w:val="Title"/>
    <w:basedOn w:val="Normal"/>
    <w:qFormat/>
    <w:rsid w:val="00331FDB"/>
    <w:pPr>
      <w:spacing w:before="240" w:after="60"/>
      <w:jc w:val="center"/>
      <w:outlineLvl w:val="0"/>
    </w:pPr>
    <w:rPr>
      <w:rFonts w:ascii="Arial" w:hAnsi="Arial" w:cs="Arial"/>
      <w:b/>
      <w:bCs/>
      <w:smallCaps/>
      <w:color w:val="000080"/>
      <w:kern w:val="28"/>
      <w:sz w:val="28"/>
      <w:szCs w:val="32"/>
    </w:rPr>
  </w:style>
  <w:style w:type="character" w:customStyle="1" w:styleId="Answer">
    <w:name w:val="Answer"/>
    <w:rsid w:val="00D45DAA"/>
    <w:rPr>
      <w:b/>
      <w:i/>
      <w:u w:val="single"/>
      <w:bdr w:val="none" w:sz="0" w:space="0" w:color="auto"/>
      <w:shd w:val="clear" w:color="auto" w:fill="FFFF99"/>
    </w:rPr>
  </w:style>
  <w:style w:type="paragraph" w:styleId="Bibliography">
    <w:name w:val="Bibliography"/>
    <w:basedOn w:val="Normal"/>
    <w:rsid w:val="00331FDB"/>
    <w:pPr>
      <w:spacing w:before="120" w:after="240"/>
      <w:ind w:left="720" w:hanging="720"/>
    </w:pPr>
  </w:style>
  <w:style w:type="paragraph" w:customStyle="1" w:styleId="CoverText">
    <w:name w:val="CoverText"/>
    <w:basedOn w:val="Normal"/>
    <w:rsid w:val="00331FDB"/>
    <w:pPr>
      <w:jc w:val="center"/>
    </w:pPr>
  </w:style>
  <w:style w:type="paragraph" w:styleId="BodyText3">
    <w:name w:val="Body Text 3"/>
    <w:basedOn w:val="Normal"/>
    <w:rsid w:val="00331FDB"/>
    <w:rPr>
      <w:sz w:val="18"/>
      <w:szCs w:val="16"/>
    </w:rPr>
  </w:style>
  <w:style w:type="paragraph" w:styleId="BodyTextFirstIndent">
    <w:name w:val="Body Text First Indent"/>
    <w:basedOn w:val="BodyText"/>
    <w:rsid w:val="00331FDB"/>
    <w:pPr>
      <w:spacing w:line="480" w:lineRule="auto"/>
      <w:ind w:firstLine="432"/>
    </w:pPr>
  </w:style>
  <w:style w:type="paragraph" w:styleId="FootnoteText">
    <w:name w:val="footnote text"/>
    <w:basedOn w:val="Normal"/>
    <w:rsid w:val="00331FDB"/>
    <w:rPr>
      <w:sz w:val="20"/>
      <w:szCs w:val="20"/>
    </w:rPr>
  </w:style>
  <w:style w:type="paragraph" w:customStyle="1" w:styleId="CenterTable">
    <w:name w:val="CenterTable"/>
    <w:basedOn w:val="Normal"/>
    <w:rsid w:val="00331FDB"/>
    <w:pPr>
      <w:jc w:val="center"/>
    </w:pPr>
  </w:style>
  <w:style w:type="numbering" w:customStyle="1" w:styleId="StyleOutlinenumbered">
    <w:name w:val="Style Outline numbered"/>
    <w:basedOn w:val="NoList"/>
    <w:rsid w:val="00331FDB"/>
    <w:pPr>
      <w:numPr>
        <w:numId w:val="9"/>
      </w:numPr>
    </w:pPr>
  </w:style>
  <w:style w:type="paragraph" w:customStyle="1" w:styleId="StyleLeft14">
    <w:name w:val="Style Left:  1.4&quot;"/>
    <w:basedOn w:val="Normal"/>
    <w:rsid w:val="00331FDB"/>
    <w:pPr>
      <w:ind w:left="2016"/>
    </w:pPr>
    <w:rPr>
      <w:szCs w:val="22"/>
    </w:rPr>
  </w:style>
  <w:style w:type="paragraph" w:customStyle="1" w:styleId="StyleLeft105">
    <w:name w:val="Style Left:  1.05&quot;"/>
    <w:basedOn w:val="Normal"/>
    <w:rsid w:val="00331FDB"/>
    <w:pPr>
      <w:ind w:left="1512"/>
    </w:pPr>
    <w:rPr>
      <w:szCs w:val="20"/>
    </w:rPr>
  </w:style>
  <w:style w:type="paragraph" w:customStyle="1" w:styleId="StyleLeft07">
    <w:name w:val="Style Left:  0.7&quot;"/>
    <w:basedOn w:val="Normal"/>
    <w:rsid w:val="00331FDB"/>
    <w:pPr>
      <w:ind w:left="1008"/>
    </w:pPr>
    <w:rPr>
      <w:szCs w:val="20"/>
    </w:rPr>
  </w:style>
  <w:style w:type="paragraph" w:customStyle="1" w:styleId="StyleLeft035">
    <w:name w:val="Style Left:  0.35&quot;"/>
    <w:basedOn w:val="Normal"/>
    <w:rsid w:val="00331FDB"/>
    <w:pPr>
      <w:ind w:left="504"/>
    </w:pPr>
    <w:rPr>
      <w:szCs w:val="20"/>
    </w:rPr>
  </w:style>
  <w:style w:type="paragraph" w:customStyle="1" w:styleId="Indentedlist">
    <w:name w:val="Indented list"/>
    <w:basedOn w:val="Normal"/>
    <w:rsid w:val="00331FDB"/>
    <w:pPr>
      <w:numPr>
        <w:numId w:val="2"/>
      </w:numPr>
      <w:tabs>
        <w:tab w:val="clear" w:pos="1008"/>
        <w:tab w:val="num" w:pos="360"/>
      </w:tabs>
      <w:ind w:left="0" w:firstLine="0"/>
    </w:pPr>
    <w:rPr>
      <w:szCs w:val="22"/>
    </w:rPr>
  </w:style>
  <w:style w:type="paragraph" w:styleId="List">
    <w:name w:val="List"/>
    <w:basedOn w:val="Normal"/>
    <w:rsid w:val="00331FDB"/>
    <w:pPr>
      <w:numPr>
        <w:numId w:val="3"/>
      </w:numPr>
      <w:tabs>
        <w:tab w:val="clear" w:pos="504"/>
        <w:tab w:val="num" w:pos="360"/>
      </w:tabs>
      <w:ind w:left="0" w:firstLine="0"/>
    </w:pPr>
    <w:rPr>
      <w:szCs w:val="22"/>
    </w:rPr>
  </w:style>
  <w:style w:type="numbering" w:customStyle="1" w:styleId="StyleCharOutlinenumbered">
    <w:name w:val="Style Char Outline numbered"/>
    <w:basedOn w:val="NoList"/>
    <w:rsid w:val="00331FDB"/>
    <w:pPr>
      <w:numPr>
        <w:numId w:val="10"/>
      </w:numPr>
    </w:pPr>
  </w:style>
  <w:style w:type="paragraph" w:styleId="Footer">
    <w:name w:val="footer"/>
    <w:basedOn w:val="Normal"/>
    <w:rsid w:val="00331FDB"/>
    <w:pPr>
      <w:tabs>
        <w:tab w:val="center" w:pos="4320"/>
        <w:tab w:val="right" w:pos="9360"/>
      </w:tabs>
    </w:pPr>
    <w:rPr>
      <w:rFonts w:ascii="Arial" w:hAnsi="Arial"/>
      <w:sz w:val="16"/>
    </w:rPr>
  </w:style>
  <w:style w:type="character" w:styleId="PageNumber">
    <w:name w:val="page number"/>
    <w:basedOn w:val="DefaultParagraphFont"/>
    <w:rsid w:val="00D45DAA"/>
  </w:style>
  <w:style w:type="table" w:styleId="TableGrid">
    <w:name w:val="Table Grid"/>
    <w:basedOn w:val="TableNormal"/>
    <w:rsid w:val="00672A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6447"/>
    <w:rPr>
      <w:rFonts w:ascii="Tahoma" w:hAnsi="Tahoma" w:cs="Tahoma"/>
      <w:sz w:val="16"/>
      <w:szCs w:val="16"/>
    </w:rPr>
  </w:style>
  <w:style w:type="character" w:customStyle="1" w:styleId="BalloonTextChar">
    <w:name w:val="Balloon Text Char"/>
    <w:link w:val="BalloonText"/>
    <w:rsid w:val="00526447"/>
    <w:rPr>
      <w:rFonts w:ascii="Tahoma" w:hAnsi="Tahoma" w:cs="Tahoma"/>
      <w:kern w:val="22"/>
      <w:sz w:val="16"/>
      <w:szCs w:val="16"/>
    </w:rPr>
  </w:style>
  <w:style w:type="paragraph" w:customStyle="1" w:styleId="GCaptionBoldCentered">
    <w:name w:val="GCaptionBoldCentered"/>
    <w:basedOn w:val="Normal"/>
    <w:rsid w:val="00D45DAA"/>
    <w:pPr>
      <w:keepNext/>
      <w:jc w:val="center"/>
    </w:pPr>
    <w:rPr>
      <w:b/>
      <w:color w:val="000099"/>
      <w:sz w:val="24"/>
    </w:rPr>
  </w:style>
  <w:style w:type="character" w:styleId="Hyperlink">
    <w:name w:val="Hyperlink"/>
    <w:rsid w:val="00353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9709">
      <w:bodyDiv w:val="1"/>
      <w:marLeft w:val="0"/>
      <w:marRight w:val="0"/>
      <w:marTop w:val="0"/>
      <w:marBottom w:val="0"/>
      <w:divBdr>
        <w:top w:val="none" w:sz="0" w:space="0" w:color="auto"/>
        <w:left w:val="none" w:sz="0" w:space="0" w:color="auto"/>
        <w:bottom w:val="none" w:sz="0" w:space="0" w:color="auto"/>
        <w:right w:val="none" w:sz="0" w:space="0" w:color="auto"/>
      </w:divBdr>
    </w:div>
    <w:div w:id="372846199">
      <w:bodyDiv w:val="1"/>
      <w:marLeft w:val="0"/>
      <w:marRight w:val="0"/>
      <w:marTop w:val="0"/>
      <w:marBottom w:val="0"/>
      <w:divBdr>
        <w:top w:val="none" w:sz="0" w:space="0" w:color="auto"/>
        <w:left w:val="none" w:sz="0" w:space="0" w:color="auto"/>
        <w:bottom w:val="none" w:sz="0" w:space="0" w:color="auto"/>
        <w:right w:val="none" w:sz="0" w:space="0" w:color="auto"/>
      </w:divBdr>
    </w:div>
    <w:div w:id="565847201">
      <w:bodyDiv w:val="1"/>
      <w:marLeft w:val="0"/>
      <w:marRight w:val="0"/>
      <w:marTop w:val="0"/>
      <w:marBottom w:val="0"/>
      <w:divBdr>
        <w:top w:val="none" w:sz="0" w:space="0" w:color="auto"/>
        <w:left w:val="none" w:sz="0" w:space="0" w:color="auto"/>
        <w:bottom w:val="none" w:sz="0" w:space="0" w:color="auto"/>
        <w:right w:val="none" w:sz="0" w:space="0" w:color="auto"/>
      </w:divBdr>
    </w:div>
    <w:div w:id="820002850">
      <w:bodyDiv w:val="1"/>
      <w:marLeft w:val="0"/>
      <w:marRight w:val="0"/>
      <w:marTop w:val="0"/>
      <w:marBottom w:val="0"/>
      <w:divBdr>
        <w:top w:val="none" w:sz="0" w:space="0" w:color="auto"/>
        <w:left w:val="none" w:sz="0" w:space="0" w:color="auto"/>
        <w:bottom w:val="none" w:sz="0" w:space="0" w:color="auto"/>
        <w:right w:val="none" w:sz="0" w:space="0" w:color="auto"/>
      </w:divBdr>
    </w:div>
    <w:div w:id="1209024341">
      <w:bodyDiv w:val="1"/>
      <w:marLeft w:val="0"/>
      <w:marRight w:val="0"/>
      <w:marTop w:val="0"/>
      <w:marBottom w:val="0"/>
      <w:divBdr>
        <w:top w:val="none" w:sz="0" w:space="0" w:color="auto"/>
        <w:left w:val="none" w:sz="0" w:space="0" w:color="auto"/>
        <w:bottom w:val="none" w:sz="0" w:space="0" w:color="auto"/>
        <w:right w:val="none" w:sz="0" w:space="0" w:color="auto"/>
      </w:divBdr>
    </w:div>
    <w:div w:id="200173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deohl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de\AppData\Roaming\Microsoft\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paper.dotx</Template>
  <TotalTime>6</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Conceptual Foundation of the Spreadsheets</vt:lpstr>
    </vt:vector>
  </TitlesOfParts>
  <Manager>http://www.godeohlson.com</Manager>
  <Company>paper.dot</Company>
  <LinksUpToDate>false</LinksUpToDate>
  <CharactersWithSpaces>6310</CharactersWithSpaces>
  <SharedDoc>false</SharedDoc>
  <HLinks>
    <vt:vector size="6" baseType="variant">
      <vt:variant>
        <vt:i4>2752545</vt:i4>
      </vt:variant>
      <vt:variant>
        <vt:i4>6</vt:i4>
      </vt:variant>
      <vt:variant>
        <vt:i4>0</vt:i4>
      </vt:variant>
      <vt:variant>
        <vt:i4>5</vt:i4>
      </vt:variant>
      <vt:variant>
        <vt:lpwstr>http://www.godeohlson.com/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 Foundation of the Spreadsheets</dc:title>
  <dc:subject>Financial Statement Analysis and Valuation</dc:subject>
  <dc:creator>Dan Gode and James Ohlson</dc:creator>
  <cp:keywords/>
  <dc:description/>
  <cp:lastModifiedBy>Dan Gode</cp:lastModifiedBy>
  <cp:revision>10</cp:revision>
  <cp:lastPrinted>2012-01-23T17:13:00Z</cp:lastPrinted>
  <dcterms:created xsi:type="dcterms:W3CDTF">2012-01-08T20:33:00Z</dcterms:created>
  <dcterms:modified xsi:type="dcterms:W3CDTF">2016-09-03T23:01:00Z</dcterms:modified>
</cp:coreProperties>
</file>