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AEB" w:rsidRPr="005C5810" w:rsidRDefault="00305C7F">
      <w:pPr>
        <w:pStyle w:val="Title"/>
      </w:pPr>
      <w:bookmarkStart w:id="0" w:name="_GoBack"/>
      <w:bookmarkEnd w:id="0"/>
      <w:r>
        <w:t>Instructions</w:t>
      </w:r>
      <w:r w:rsidR="003C4594">
        <w:t xml:space="preserve"> and </w:t>
      </w:r>
      <w:r w:rsidR="00260EF1">
        <w:t>Acronyms</w:t>
      </w:r>
    </w:p>
    <w:p w:rsidR="00F01AEB" w:rsidRDefault="000D0994">
      <w:pPr>
        <w:pStyle w:val="Subtitle"/>
      </w:pPr>
      <w:r>
        <w:t xml:space="preserve">© </w:t>
      </w:r>
      <w:r w:rsidR="00F01AEB">
        <w:t>Dan Gode and James Ohlson</w:t>
      </w:r>
    </w:p>
    <w:p w:rsidR="00305C7F" w:rsidRDefault="00305C7F" w:rsidP="00305C7F">
      <w:pPr>
        <w:pStyle w:val="Heading1"/>
      </w:pPr>
      <w:r>
        <w:t>How to read the spreadsheets and the supporting documents</w:t>
      </w:r>
    </w:p>
    <w:p w:rsidR="006A4ECC" w:rsidRDefault="006A4ECC" w:rsidP="006A4ECC">
      <w:pPr>
        <w:pStyle w:val="BodyText"/>
      </w:pPr>
      <w:r>
        <w:t xml:space="preserve">We start </w:t>
      </w:r>
      <w:r w:rsidR="00DC7079">
        <w:t xml:space="preserve">by describing </w:t>
      </w:r>
      <w:r>
        <w:t xml:space="preserve">the layout of </w:t>
      </w:r>
      <w:r w:rsidR="00DC7079">
        <w:t>the</w:t>
      </w:r>
      <w:r>
        <w:t xml:space="preserve"> spreadsheet</w:t>
      </w:r>
      <w:r w:rsidR="00DC7079">
        <w:t>s and their</w:t>
      </w:r>
      <w:r>
        <w:t xml:space="preserve"> supporting document</w:t>
      </w:r>
      <w:r w:rsidR="00DC7079">
        <w:t>s</w:t>
      </w:r>
      <w:r>
        <w:t>.</w:t>
      </w:r>
      <w:r w:rsidR="003C1D93">
        <w:t xml:space="preserve"> One should purview the spreadsheets</w:t>
      </w:r>
      <w:r w:rsidR="00CF3D09">
        <w:t xml:space="preserve">, </w:t>
      </w:r>
      <w:r w:rsidR="00D2681D">
        <w:t>especially FSA1</w:t>
      </w:r>
      <w:r w:rsidR="00CF3D09">
        <w:t>,</w:t>
      </w:r>
      <w:r w:rsidR="00D2681D">
        <w:t xml:space="preserve"> </w:t>
      </w:r>
      <w:r w:rsidR="003C1D93">
        <w:t>and their supporting documents while reading the instructions below.</w:t>
      </w:r>
    </w:p>
    <w:p w:rsidR="006A4ECC" w:rsidRDefault="006A4ECC" w:rsidP="006A4ECC">
      <w:pPr>
        <w:pStyle w:val="Heading2"/>
      </w:pPr>
      <w:r>
        <w:t>The spreadsheet</w:t>
      </w:r>
      <w:r w:rsidR="00B56CB4">
        <w:t>s</w:t>
      </w:r>
    </w:p>
    <w:p w:rsidR="006A4ECC" w:rsidRDefault="006A4ECC" w:rsidP="00B56CB4">
      <w:pPr>
        <w:pStyle w:val="BodyText"/>
      </w:pPr>
      <w:r w:rsidRPr="00D77FB7">
        <w:t>Each spreadsheet consists of “blocks”, separated by blank rows.  Th</w:t>
      </w:r>
      <w:r>
        <w:t xml:space="preserve">ese blocks highlight the inputs needed, the intermediate takeaways, and the key outputs. Together, they convey the </w:t>
      </w:r>
      <w:r w:rsidRPr="00D77FB7">
        <w:t xml:space="preserve">big picture. </w:t>
      </w:r>
    </w:p>
    <w:p w:rsidR="00B56CB4" w:rsidRDefault="006A4ECC" w:rsidP="00B56CB4">
      <w:pPr>
        <w:pStyle w:val="BodyText"/>
      </w:pPr>
      <w:r w:rsidRPr="00C0232B">
        <w:t>Each spre</w:t>
      </w:r>
      <w:r>
        <w:t>a</w:t>
      </w:r>
      <w:r w:rsidRPr="00C0232B">
        <w:t xml:space="preserve">dsheet </w:t>
      </w:r>
      <w:r>
        <w:t>requires</w:t>
      </w:r>
      <w:r w:rsidRPr="00C0232B">
        <w:t xml:space="preserve"> input</w:t>
      </w:r>
      <w:r>
        <w:t xml:space="preserve">s that must be provided by the user from the financial statements and market data such as stock price. </w:t>
      </w:r>
      <w:r w:rsidRPr="007F2269">
        <w:rPr>
          <w:i/>
          <w:color w:val="008000"/>
        </w:rPr>
        <w:t>These inputs are shown as green italic numbers for positive numbers</w:t>
      </w:r>
      <w:r w:rsidRPr="000A17A7">
        <w:rPr>
          <w:color w:val="FF0000"/>
        </w:rPr>
        <w:t xml:space="preserve"> </w:t>
      </w:r>
      <w:r>
        <w:rPr>
          <w:i/>
          <w:color w:val="FF0000"/>
        </w:rPr>
        <w:t>and</w:t>
      </w:r>
      <w:r w:rsidRPr="000A17A7">
        <w:rPr>
          <w:i/>
          <w:color w:val="FF0000"/>
        </w:rPr>
        <w:t xml:space="preserve"> (red italic number in parentheses)</w:t>
      </w:r>
      <w:r>
        <w:rPr>
          <w:i/>
          <w:color w:val="FF0000"/>
        </w:rPr>
        <w:t xml:space="preserve"> for negative numbers.</w:t>
      </w:r>
      <w:r>
        <w:t xml:space="preserve"> Year 0 refers to the current year; Year-1 refers to the prior year and Year 1 refers to the forthcoming year.</w:t>
      </w:r>
      <w:r w:rsidR="00B56CB4">
        <w:t xml:space="preserve"> </w:t>
      </w:r>
      <w:r w:rsidR="00E05083" w:rsidRPr="009A46EB">
        <w:t xml:space="preserve">Inputs that are usually zero in financial statements are shown with </w:t>
      </w:r>
      <w:r w:rsidR="00E05083" w:rsidRPr="009D55A2">
        <w:t>tan</w:t>
      </w:r>
      <w:r w:rsidR="00E05083" w:rsidRPr="009A46EB">
        <w:t xml:space="preserve"> shading.</w:t>
      </w:r>
    </w:p>
    <w:p w:rsidR="00B56CB4" w:rsidRDefault="00B56CB4" w:rsidP="00B56CB4">
      <w:pPr>
        <w:pStyle w:val="BodyText"/>
      </w:pPr>
      <w:r>
        <w:t>When you open a spreadsheet, you will find that the inputs are prefilled</w:t>
      </w:r>
      <w:r w:rsidR="00A2095A">
        <w:t>. These provide</w:t>
      </w:r>
      <w:r w:rsidR="00E05083">
        <w:t xml:space="preserve"> a ready example that you can follow before you input your numbers.</w:t>
      </w:r>
      <w:r>
        <w:t xml:space="preserve"> </w:t>
      </w:r>
      <w:r w:rsidR="00174B71">
        <w:t xml:space="preserve"> Once you start to examine real cases, then y</w:t>
      </w:r>
      <w:r>
        <w:t xml:space="preserve">ou should replace ALL inputs by </w:t>
      </w:r>
      <w:r w:rsidR="00174B71">
        <w:t>numbers from the financial statements</w:t>
      </w:r>
      <w:r>
        <w:t xml:space="preserve">. </w:t>
      </w:r>
    </w:p>
    <w:p w:rsidR="00686A87" w:rsidRDefault="00BD08EF" w:rsidP="00B56CB4">
      <w:pPr>
        <w:pStyle w:val="BodyText"/>
      </w:pPr>
      <w:r>
        <w:t xml:space="preserve">Some spreadsheets have step numbers listed in the far right column. The step numbers can differ from the sequence per rows. Clicking any step number takes you to the next one. Following this sequence allows you to see better the inherent logic in the spreadsheet. Moreover, each step number is cross-referenced to </w:t>
      </w:r>
      <w:r w:rsidR="000927C0">
        <w:t>its description</w:t>
      </w:r>
      <w:r>
        <w:t xml:space="preserve"> in “Detailed steps” section of the supporting document, which elaborates on the nature of the line item. </w:t>
      </w:r>
    </w:p>
    <w:p w:rsidR="00B56CB4" w:rsidRDefault="00B56CB4" w:rsidP="00B56CB4">
      <w:pPr>
        <w:pStyle w:val="BodyText"/>
      </w:pPr>
      <w:r>
        <w:t xml:space="preserve">[Technical point that users can ignore: Some cells </w:t>
      </w:r>
      <w:r w:rsidRPr="009A46EB">
        <w:t xml:space="preserve">should not be copied across </w:t>
      </w:r>
      <w:r>
        <w:t>to the right because they have formulas that differ in structure from the cells to their right. To prevent accidental copying, these cells have been shaded gray, and a warning comment has been added.]</w:t>
      </w:r>
    </w:p>
    <w:p w:rsidR="006A4ECC" w:rsidRDefault="006A4ECC" w:rsidP="006A4ECC">
      <w:pPr>
        <w:pStyle w:val="Heading2"/>
      </w:pPr>
      <w:r>
        <w:t>The supporting document</w:t>
      </w:r>
      <w:r w:rsidR="00B56CB4">
        <w:t>s</w:t>
      </w:r>
    </w:p>
    <w:p w:rsidR="005E7874" w:rsidRDefault="006A4ECC" w:rsidP="00B56CB4">
      <w:pPr>
        <w:pStyle w:val="BodyText"/>
      </w:pPr>
      <w:r>
        <w:t xml:space="preserve">Each spreadsheet </w:t>
      </w:r>
      <w:r w:rsidR="00637F62">
        <w:t>has</w:t>
      </w:r>
      <w:r>
        <w:t xml:space="preserve"> a textual “Overview,” and, when necessary, a “Detailed Steps” </w:t>
      </w:r>
      <w:r w:rsidR="005E7874">
        <w:t>section referred above</w:t>
      </w:r>
      <w:r>
        <w:t xml:space="preserve">. </w:t>
      </w:r>
    </w:p>
    <w:p w:rsidR="006A4ECC" w:rsidRDefault="006A4ECC" w:rsidP="00B56CB4">
      <w:pPr>
        <w:pStyle w:val="BodyText"/>
      </w:pPr>
      <w:r>
        <w:t>The “Overview” section does the following:</w:t>
      </w:r>
    </w:p>
    <w:p w:rsidR="006A4ECC" w:rsidRDefault="008F70E4" w:rsidP="006A4ECC">
      <w:pPr>
        <w:pStyle w:val="BodyText"/>
        <w:numPr>
          <w:ilvl w:val="0"/>
          <w:numId w:val="9"/>
        </w:numPr>
      </w:pPr>
      <w:r>
        <w:t>l</w:t>
      </w:r>
      <w:r w:rsidR="006A4ECC">
        <w:t>ist</w:t>
      </w:r>
      <w:r>
        <w:t>s</w:t>
      </w:r>
      <w:r w:rsidR="006A4ECC">
        <w:t xml:space="preserve"> </w:t>
      </w:r>
      <w:r>
        <w:t xml:space="preserve">key </w:t>
      </w:r>
      <w:r w:rsidR="006A4ECC">
        <w:t>takeaways of the spreadsheet</w:t>
      </w:r>
      <w:r w:rsidR="005E7874">
        <w:t>,</w:t>
      </w:r>
    </w:p>
    <w:p w:rsidR="00B56CB4" w:rsidRDefault="005E7874" w:rsidP="006A4ECC">
      <w:pPr>
        <w:pStyle w:val="BodyText"/>
        <w:numPr>
          <w:ilvl w:val="0"/>
          <w:numId w:val="9"/>
        </w:numPr>
      </w:pPr>
      <w:r>
        <w:t>s</w:t>
      </w:r>
      <w:r w:rsidR="006A4ECC">
        <w:t>tates the core concepts that the spreadsheet relies upon</w:t>
      </w:r>
      <w:r>
        <w:t>, and</w:t>
      </w:r>
    </w:p>
    <w:p w:rsidR="006A4ECC" w:rsidRPr="00D77FB7" w:rsidRDefault="005E7874" w:rsidP="006A4ECC">
      <w:pPr>
        <w:pStyle w:val="BodyText"/>
        <w:numPr>
          <w:ilvl w:val="0"/>
          <w:numId w:val="9"/>
        </w:numPr>
      </w:pPr>
      <w:r>
        <w:t>s</w:t>
      </w:r>
      <w:r w:rsidR="006A4ECC">
        <w:t>tates the required inputs that describe the historical data or judgments needed</w:t>
      </w:r>
      <w:r>
        <w:t>.</w:t>
      </w:r>
    </w:p>
    <w:p w:rsidR="006A4ECC" w:rsidRDefault="006A4ECC" w:rsidP="006A4ECC">
      <w:pPr>
        <w:pStyle w:val="Heading2"/>
      </w:pPr>
      <w:r>
        <w:t>The sequence</w:t>
      </w:r>
      <w:r w:rsidR="008E2D85">
        <w:t xml:space="preserve"> in which you</w:t>
      </w:r>
      <w:r w:rsidR="00115ADE">
        <w:t xml:space="preserve"> should </w:t>
      </w:r>
      <w:r w:rsidR="008E2D85">
        <w:t>read the spreadsheets and the documents</w:t>
      </w:r>
    </w:p>
    <w:p w:rsidR="00305C7F" w:rsidRDefault="00305C7F" w:rsidP="00305C7F">
      <w:pPr>
        <w:pStyle w:val="BodyText"/>
        <w:numPr>
          <w:ilvl w:val="0"/>
          <w:numId w:val="9"/>
        </w:numPr>
      </w:pPr>
      <w:r>
        <w:t>Purview the overall structure of the spreadsheet</w:t>
      </w:r>
    </w:p>
    <w:p w:rsidR="00305C7F" w:rsidRDefault="00305C7F" w:rsidP="006A4ECC">
      <w:pPr>
        <w:pStyle w:val="BodyText"/>
        <w:numPr>
          <w:ilvl w:val="0"/>
          <w:numId w:val="9"/>
        </w:numPr>
      </w:pPr>
      <w:r>
        <w:t xml:space="preserve">Read the overview section of the supporting document. </w:t>
      </w:r>
    </w:p>
    <w:p w:rsidR="00305C7F" w:rsidRPr="0078252D" w:rsidRDefault="00305C7F" w:rsidP="00305C7F">
      <w:pPr>
        <w:pStyle w:val="BodyText"/>
        <w:numPr>
          <w:ilvl w:val="0"/>
          <w:numId w:val="9"/>
        </w:numPr>
      </w:pPr>
      <w:r>
        <w:t>Familiarize yourself with the inputs needed by the spreadsheet</w:t>
      </w:r>
    </w:p>
    <w:p w:rsidR="00305C7F" w:rsidRDefault="00305C7F" w:rsidP="00305C7F">
      <w:pPr>
        <w:pStyle w:val="BodyText"/>
        <w:numPr>
          <w:ilvl w:val="0"/>
          <w:numId w:val="10"/>
        </w:numPr>
      </w:pPr>
      <w:r>
        <w:t>Study the sequence of formulas that connect inputs to outputs</w:t>
      </w:r>
      <w:r w:rsidR="006A4ECC">
        <w:t xml:space="preserve"> by clicking the step numbers if they are present. As you click each step, read the “Detailed Steps” section of the supporting document.</w:t>
      </w:r>
    </w:p>
    <w:p w:rsidR="00305C7F" w:rsidRPr="004377FB" w:rsidRDefault="00305C7F" w:rsidP="00305C7F">
      <w:pPr>
        <w:pStyle w:val="BodyText"/>
        <w:numPr>
          <w:ilvl w:val="0"/>
          <w:numId w:val="10"/>
        </w:numPr>
      </w:pPr>
      <w:r>
        <w:t>A</w:t>
      </w:r>
      <w:r w:rsidRPr="009A46EB">
        <w:t>pply the spreadsheet to a real company</w:t>
      </w:r>
      <w:r>
        <w:t xml:space="preserve"> by replacing the input</w:t>
      </w:r>
      <w:r w:rsidR="00673233">
        <w:t>s</w:t>
      </w:r>
      <w:r>
        <w:t xml:space="preserve"> with data from </w:t>
      </w:r>
      <w:r w:rsidR="00673233">
        <w:t>financial statements</w:t>
      </w:r>
      <w:r w:rsidRPr="009A46EB">
        <w:t xml:space="preserve">. </w:t>
      </w:r>
    </w:p>
    <w:p w:rsidR="00260EF1" w:rsidRDefault="00B824DE" w:rsidP="00260EF1">
      <w:pPr>
        <w:pStyle w:val="Heading1"/>
      </w:pPr>
      <w:r w:rsidRPr="00B824DE">
        <w:lastRenderedPageBreak/>
        <w:t>Terminolo</w:t>
      </w:r>
      <w:r>
        <w:t>gy and frequently used acronyms</w:t>
      </w:r>
    </w:p>
    <w:p w:rsidR="007365B9" w:rsidRDefault="007365B9" w:rsidP="007365B9">
      <w:pPr>
        <w:pStyle w:val="Heading2"/>
      </w:pPr>
      <w:r>
        <w:t>Terms</w:t>
      </w:r>
    </w:p>
    <w:p w:rsidR="001A4ED8" w:rsidRDefault="00B824DE" w:rsidP="0035082D">
      <w:pPr>
        <w:pStyle w:val="BodyText"/>
      </w:pPr>
      <w:r w:rsidRPr="00B824DE">
        <w:t xml:space="preserve">Practical FSA, and textbooks on FSA, </w:t>
      </w:r>
      <w:r>
        <w:t>u</w:t>
      </w:r>
      <w:r w:rsidRPr="00B824DE">
        <w:t>se term</w:t>
      </w:r>
      <w:r>
        <w:t>s</w:t>
      </w:r>
      <w:r w:rsidRPr="00B824DE">
        <w:t xml:space="preserve"> that are </w:t>
      </w:r>
      <w:r>
        <w:t>not</w:t>
      </w:r>
      <w:r w:rsidRPr="00B824DE">
        <w:t xml:space="preserve"> standardized. To communicate effectively, our spreadsheets and supporting documents </w:t>
      </w:r>
      <w:r w:rsidR="00551E61">
        <w:t>use terms</w:t>
      </w:r>
      <w:r w:rsidRPr="00B824DE">
        <w:t xml:space="preserve"> consistent</w:t>
      </w:r>
      <w:r w:rsidR="00551E61">
        <w:t>ly</w:t>
      </w:r>
      <w:r w:rsidRPr="00B824DE">
        <w:t xml:space="preserve">. This strict “one language” approach </w:t>
      </w:r>
      <w:r w:rsidR="001A4ED8">
        <w:t xml:space="preserve">could be a small initial hurdle to </w:t>
      </w:r>
      <w:r w:rsidR="00551E61">
        <w:t>those used to different terms</w:t>
      </w:r>
      <w:r w:rsidRPr="00B824DE">
        <w:t xml:space="preserve">. </w:t>
      </w:r>
    </w:p>
    <w:p w:rsidR="00B824DE" w:rsidRDefault="001A4ED8" w:rsidP="0035082D">
      <w:pPr>
        <w:pStyle w:val="BodyText"/>
      </w:pPr>
      <w:r>
        <w:t xml:space="preserve">The new terminology centers on the </w:t>
      </w:r>
      <w:r w:rsidR="00047EE5">
        <w:t xml:space="preserve">separation of </w:t>
      </w:r>
      <w:r w:rsidR="00047EE5" w:rsidRPr="00047EE5">
        <w:rPr>
          <w:rStyle w:val="Italicize"/>
        </w:rPr>
        <w:t>enterprise vs. financial activities</w:t>
      </w:r>
      <w:r w:rsidR="00047EE5">
        <w:t xml:space="preserve">. </w:t>
      </w:r>
      <w:smartTag w:uri="urn:schemas-microsoft-com:office:smarttags" w:element="City">
        <w:smartTag w:uri="urn:schemas-microsoft-com:office:smarttags" w:element="place">
          <w:r w:rsidR="00047EE5">
            <w:t>Enterprise</w:t>
          </w:r>
        </w:smartTag>
      </w:smartTag>
      <w:r w:rsidR="00047EE5">
        <w:t xml:space="preserve"> activities are often referred to as operating activities, but we stick to the former term because the latter is often used for all sorts of other meanings. To minimize confusion,</w:t>
      </w:r>
      <w:r w:rsidR="00B824DE" w:rsidRPr="00B824DE">
        <w:t xml:space="preserve"> the first spreadsheet, FSA1, pro</w:t>
      </w:r>
      <w:r w:rsidR="005E0331">
        <w:t>vides a terminology “lexicon”: I</w:t>
      </w:r>
      <w:r w:rsidR="00B824DE" w:rsidRPr="00B824DE">
        <w:t>t states the</w:t>
      </w:r>
      <w:r w:rsidR="005E0331">
        <w:t xml:space="preserve"> common synonyms for terms that we use</w:t>
      </w:r>
      <w:r w:rsidR="00B824DE" w:rsidRPr="00B824DE">
        <w:t>.</w:t>
      </w:r>
      <w:r w:rsidR="00047EE5">
        <w:t xml:space="preserve"> </w:t>
      </w:r>
    </w:p>
    <w:p w:rsidR="007365B9" w:rsidRDefault="007365B9" w:rsidP="007365B9">
      <w:pPr>
        <w:pStyle w:val="Heading2"/>
      </w:pPr>
      <w:r>
        <w:t>Acronyms</w:t>
      </w:r>
    </w:p>
    <w:p w:rsidR="00651AD7" w:rsidRPr="00D46465" w:rsidRDefault="0035082D" w:rsidP="00651AD7">
      <w:pPr>
        <w:pStyle w:val="BodyText"/>
      </w:pPr>
      <w:r>
        <w:t>Acronyms keep the spreadsheets compact, which makes it easier to see the big picture.</w:t>
      </w:r>
      <w:r w:rsidR="0017539E">
        <w:t xml:space="preserve"> We summarize the acronyms used below. </w:t>
      </w:r>
      <w:r w:rsidR="00651AD7">
        <w:t xml:space="preserve">This dichotomy </w:t>
      </w:r>
      <w:r w:rsidR="0017539E">
        <w:t xml:space="preserve">between enterprise and financial activities </w:t>
      </w:r>
      <w:r w:rsidR="00651AD7">
        <w:t>gives rise to the following acronyms.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4681"/>
        <w:gridCol w:w="4909"/>
      </w:tblGrid>
      <w:tr w:rsidR="0035082D" w:rsidRPr="00173207" w:rsidTr="00173207">
        <w:trPr>
          <w:cantSplit/>
        </w:trPr>
        <w:tc>
          <w:tcPr>
            <w:tcW w:w="0" w:type="auto"/>
            <w:tcBorders>
              <w:bottom w:val="nil"/>
            </w:tcBorders>
            <w:shd w:val="clear" w:color="auto" w:fill="auto"/>
          </w:tcPr>
          <w:p w:rsidR="0035082D" w:rsidRPr="00D46465" w:rsidRDefault="0035082D" w:rsidP="00173207">
            <w:pPr>
              <w:pStyle w:val="TableLeftText"/>
              <w:keepNext/>
            </w:pPr>
            <w:r w:rsidRPr="00D46465">
              <w:t xml:space="preserve">FA = Financial </w:t>
            </w:r>
            <w:r>
              <w:t>a</w:t>
            </w:r>
            <w:r w:rsidRPr="00D46465">
              <w:t>ssets</w:t>
            </w:r>
          </w:p>
        </w:tc>
        <w:tc>
          <w:tcPr>
            <w:tcW w:w="0" w:type="auto"/>
            <w:tcBorders>
              <w:bottom w:val="nil"/>
            </w:tcBorders>
            <w:shd w:val="clear" w:color="auto" w:fill="auto"/>
          </w:tcPr>
          <w:p w:rsidR="0035082D" w:rsidRPr="00D46465" w:rsidRDefault="0035082D" w:rsidP="00173207">
            <w:pPr>
              <w:pStyle w:val="TableLeftText"/>
              <w:keepNext/>
            </w:pPr>
            <w:r w:rsidRPr="00D46465">
              <w:t xml:space="preserve">FL = Financial </w:t>
            </w:r>
            <w:r>
              <w:t>l</w:t>
            </w:r>
            <w:r w:rsidRPr="00D46465">
              <w:t>iabilities</w:t>
            </w:r>
          </w:p>
        </w:tc>
      </w:tr>
      <w:tr w:rsidR="0035082D" w:rsidRPr="00173207" w:rsidTr="00173207">
        <w:trPr>
          <w:cantSplit/>
        </w:trPr>
        <w:tc>
          <w:tcPr>
            <w:tcW w:w="0" w:type="auto"/>
            <w:tcBorders>
              <w:top w:val="nil"/>
              <w:bottom w:val="nil"/>
            </w:tcBorders>
            <w:shd w:val="clear" w:color="auto" w:fill="auto"/>
          </w:tcPr>
          <w:p w:rsidR="0035082D" w:rsidRPr="00D46465" w:rsidRDefault="0035082D" w:rsidP="00173207">
            <w:pPr>
              <w:pStyle w:val="TableLeftText"/>
              <w:keepNext/>
            </w:pPr>
            <w:r w:rsidRPr="00D46465">
              <w:t xml:space="preserve">EA = </w:t>
            </w:r>
            <w:smartTag w:uri="urn:schemas-microsoft-com:office:smarttags" w:element="place">
              <w:smartTag w:uri="urn:schemas-microsoft-com:office:smarttags" w:element="City">
                <w:r w:rsidRPr="00D46465">
                  <w:t>Enterprise</w:t>
                </w:r>
              </w:smartTag>
            </w:smartTag>
            <w:r w:rsidRPr="00D46465">
              <w:t xml:space="preserve"> assets</w:t>
            </w:r>
          </w:p>
        </w:tc>
        <w:tc>
          <w:tcPr>
            <w:tcW w:w="0" w:type="auto"/>
            <w:tcBorders>
              <w:top w:val="nil"/>
              <w:bottom w:val="nil"/>
            </w:tcBorders>
            <w:shd w:val="clear" w:color="auto" w:fill="auto"/>
          </w:tcPr>
          <w:p w:rsidR="0035082D" w:rsidRPr="00D46465" w:rsidRDefault="0035082D" w:rsidP="00173207">
            <w:pPr>
              <w:pStyle w:val="TableLeftText"/>
              <w:keepNext/>
            </w:pPr>
            <w:r w:rsidRPr="00D46465">
              <w:t xml:space="preserve">EL = </w:t>
            </w:r>
            <w:smartTag w:uri="urn:schemas-microsoft-com:office:smarttags" w:element="place">
              <w:smartTag w:uri="urn:schemas-microsoft-com:office:smarttags" w:element="City">
                <w:r w:rsidRPr="00D46465">
                  <w:t>Enterprise</w:t>
                </w:r>
              </w:smartTag>
            </w:smartTag>
            <w:r w:rsidRPr="00D46465">
              <w:t xml:space="preserve"> liabilities</w:t>
            </w:r>
          </w:p>
        </w:tc>
      </w:tr>
      <w:tr w:rsidR="0035082D" w:rsidRPr="00173207" w:rsidTr="00173207">
        <w:trPr>
          <w:cantSplit/>
        </w:trPr>
        <w:tc>
          <w:tcPr>
            <w:tcW w:w="0" w:type="auto"/>
            <w:tcBorders>
              <w:top w:val="nil"/>
              <w:bottom w:val="single" w:sz="2" w:space="0" w:color="auto"/>
            </w:tcBorders>
            <w:shd w:val="clear" w:color="auto" w:fill="auto"/>
          </w:tcPr>
          <w:p w:rsidR="0035082D" w:rsidRPr="00D46465" w:rsidRDefault="0035082D" w:rsidP="00173207">
            <w:pPr>
              <w:pStyle w:val="TableLeftText"/>
              <w:keepNext/>
            </w:pPr>
          </w:p>
        </w:tc>
        <w:tc>
          <w:tcPr>
            <w:tcW w:w="0" w:type="auto"/>
            <w:tcBorders>
              <w:top w:val="nil"/>
              <w:bottom w:val="single" w:sz="2" w:space="0" w:color="auto"/>
            </w:tcBorders>
            <w:shd w:val="clear" w:color="auto" w:fill="auto"/>
          </w:tcPr>
          <w:p w:rsidR="0035082D" w:rsidRPr="00D46465" w:rsidRDefault="0035082D" w:rsidP="00173207">
            <w:pPr>
              <w:pStyle w:val="TableLeftText"/>
              <w:keepNext/>
            </w:pPr>
            <w:r w:rsidRPr="00D46465">
              <w:t>EQ = Equity</w:t>
            </w:r>
          </w:p>
        </w:tc>
      </w:tr>
      <w:tr w:rsidR="005B27AA" w:rsidRPr="00173207" w:rsidTr="00173207">
        <w:trPr>
          <w:cantSplit/>
        </w:trPr>
        <w:tc>
          <w:tcPr>
            <w:tcW w:w="0" w:type="auto"/>
            <w:tcBorders>
              <w:bottom w:val="nil"/>
            </w:tcBorders>
            <w:shd w:val="clear" w:color="auto" w:fill="auto"/>
          </w:tcPr>
          <w:p w:rsidR="0035082D" w:rsidRPr="00D46465" w:rsidRDefault="0035082D" w:rsidP="00173207">
            <w:pPr>
              <w:pStyle w:val="TableLeftText"/>
              <w:keepNext/>
            </w:pPr>
            <w:r w:rsidRPr="00D46465">
              <w:t>NEA = Net enterprise assets [aka NOA] = EA – EL</w:t>
            </w:r>
          </w:p>
        </w:tc>
        <w:tc>
          <w:tcPr>
            <w:tcW w:w="0" w:type="auto"/>
            <w:tcBorders>
              <w:bottom w:val="nil"/>
            </w:tcBorders>
            <w:shd w:val="clear" w:color="auto" w:fill="auto"/>
          </w:tcPr>
          <w:p w:rsidR="0035082D" w:rsidRPr="00D46465" w:rsidRDefault="0035082D" w:rsidP="00173207">
            <w:pPr>
              <w:pStyle w:val="TableLeftText"/>
              <w:keepNext/>
            </w:pPr>
            <w:r w:rsidRPr="00D46465">
              <w:t>NFL = Net financial liabilities = FL – FA</w:t>
            </w:r>
          </w:p>
        </w:tc>
      </w:tr>
      <w:tr w:rsidR="0035082D" w:rsidRPr="00173207" w:rsidTr="00173207">
        <w:trPr>
          <w:cantSplit/>
        </w:trPr>
        <w:tc>
          <w:tcPr>
            <w:tcW w:w="0" w:type="auto"/>
            <w:tcBorders>
              <w:top w:val="nil"/>
              <w:bottom w:val="single" w:sz="2" w:space="0" w:color="auto"/>
            </w:tcBorders>
            <w:shd w:val="clear" w:color="auto" w:fill="auto"/>
          </w:tcPr>
          <w:p w:rsidR="0035082D" w:rsidRPr="00D46465" w:rsidRDefault="0035082D" w:rsidP="00173207">
            <w:pPr>
              <w:pStyle w:val="TableLeftText"/>
              <w:keepNext/>
            </w:pPr>
          </w:p>
        </w:tc>
        <w:tc>
          <w:tcPr>
            <w:tcW w:w="0" w:type="auto"/>
            <w:tcBorders>
              <w:top w:val="nil"/>
              <w:bottom w:val="single" w:sz="2" w:space="0" w:color="auto"/>
            </w:tcBorders>
            <w:shd w:val="clear" w:color="auto" w:fill="auto"/>
          </w:tcPr>
          <w:p w:rsidR="0035082D" w:rsidRPr="00D46465" w:rsidRDefault="0035082D" w:rsidP="00173207">
            <w:pPr>
              <w:pStyle w:val="TableLeftText"/>
              <w:keepNext/>
            </w:pPr>
            <w:r w:rsidRPr="00D46465">
              <w:t>EQ = Equity</w:t>
            </w:r>
          </w:p>
        </w:tc>
      </w:tr>
      <w:tr w:rsidR="0035082D" w:rsidRPr="00173207" w:rsidTr="00173207">
        <w:trPr>
          <w:cantSplit/>
        </w:trPr>
        <w:tc>
          <w:tcPr>
            <w:tcW w:w="0" w:type="auto"/>
            <w:shd w:val="clear" w:color="auto" w:fill="auto"/>
          </w:tcPr>
          <w:p w:rsidR="0035082D" w:rsidRPr="00D46465" w:rsidRDefault="0035082D" w:rsidP="005B27AA">
            <w:pPr>
              <w:pStyle w:val="TableLeftText"/>
            </w:pPr>
            <w:r w:rsidRPr="00D46465">
              <w:t>NEA = Net enterprise assets [aka NOA] = EA – EL</w:t>
            </w:r>
          </w:p>
        </w:tc>
        <w:tc>
          <w:tcPr>
            <w:tcW w:w="0" w:type="auto"/>
            <w:shd w:val="clear" w:color="auto" w:fill="auto"/>
          </w:tcPr>
          <w:p w:rsidR="0035082D" w:rsidRPr="00D46465" w:rsidRDefault="0035082D" w:rsidP="005B27AA">
            <w:pPr>
              <w:pStyle w:val="TableLeftText"/>
            </w:pPr>
            <w:r w:rsidRPr="00D46465">
              <w:t xml:space="preserve">IC= Invested capital or enterprise capital = EQ + NFL </w:t>
            </w:r>
          </w:p>
        </w:tc>
      </w:tr>
    </w:tbl>
    <w:p w:rsidR="00B56CB4" w:rsidRDefault="00B56CB4" w:rsidP="00B56CB4"/>
    <w:p w:rsidR="0017539E" w:rsidRDefault="0017539E" w:rsidP="0017539E">
      <w:pPr>
        <w:pStyle w:val="BodyText"/>
      </w:pPr>
      <w:r w:rsidRPr="0017539E">
        <w:t>The above dichotomy extends to an enterprise level analysis and an equity level analysis</w:t>
      </w:r>
      <w:r>
        <w:t>. To get a sense of the difference, note that:</w:t>
      </w:r>
    </w:p>
    <w:p w:rsidR="0017539E" w:rsidRDefault="0017539E" w:rsidP="0017539E">
      <w:pPr>
        <w:pStyle w:val="BodyText"/>
        <w:numPr>
          <w:ilvl w:val="0"/>
          <w:numId w:val="13"/>
        </w:numPr>
      </w:pPr>
      <w:smartTag w:uri="urn:schemas-microsoft-com:office:smarttags" w:element="City">
        <w:smartTag w:uri="urn:schemas-microsoft-com:office:smarttags" w:element="place">
          <w:r>
            <w:t>Enterprise</w:t>
          </w:r>
        </w:smartTag>
      </w:smartTag>
      <w:r>
        <w:t xml:space="preserve"> (or unlevered) analysis focuses on the creation of wealth as measured by the enterprise profit margin after tax. The creation of such wealth requires an investment in net enterprise assets, which is financed by invested capital. An increase in net enterprise assets is subtracted from enterprise profit after taxes to arrive at the cash flows generated by the enterprise. </w:t>
      </w:r>
    </w:p>
    <w:p w:rsidR="00260EF1" w:rsidRDefault="0017539E" w:rsidP="00783DE9">
      <w:pPr>
        <w:pStyle w:val="BodyText"/>
        <w:numPr>
          <w:ilvl w:val="0"/>
          <w:numId w:val="13"/>
        </w:numPr>
      </w:pPr>
      <w:r>
        <w:t>Equity (or levered) analysis consists of both enterprise and financial activities – as one package. Earnings measure the “bottom line” creation of wealth, that is, after financial expense and financial income. The difference between earnings and the (net) distribution of wealth shows up as a net increase in the shareholders’ equity.</w:t>
      </w:r>
      <w:r w:rsidR="00260EF1">
        <w:t xml:space="preserve"> </w:t>
      </w:r>
    </w:p>
    <w:p w:rsidR="008D7807" w:rsidRDefault="008D7807" w:rsidP="008D7807">
      <w:pPr>
        <w:pStyle w:val="BodyText"/>
      </w:pPr>
      <w:r>
        <w:t>The table presented next</w:t>
      </w:r>
      <w:r w:rsidR="006C7D6F">
        <w:t xml:space="preserve"> contrasts the enterprise view with the equity view.</w:t>
      </w:r>
      <w:r w:rsidR="00486616">
        <w:t xml:space="preserve"> </w:t>
      </w:r>
      <w:r w:rsidR="008F70E4">
        <w:t xml:space="preserve">It does not account for the difference between net income and comprehensive income. </w:t>
      </w:r>
      <w:r w:rsidR="00486616">
        <w:t xml:space="preserve">Most of the concepts will be clear only after the spreadsheets and their supporting documents have been read. </w:t>
      </w:r>
      <w:r w:rsidR="004E0AF2">
        <w:t xml:space="preserve">Someone unfamiliar with FSA and valuation can skip the table for now and </w:t>
      </w:r>
      <w:r w:rsidR="007D3417">
        <w:t>return to it later for review.</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1447"/>
        <w:gridCol w:w="4571"/>
        <w:gridCol w:w="3572"/>
      </w:tblGrid>
      <w:tr w:rsidR="00260EF1" w:rsidRPr="001469C8" w:rsidTr="00173207">
        <w:trPr>
          <w:cantSplit/>
        </w:trPr>
        <w:tc>
          <w:tcPr>
            <w:tcW w:w="0" w:type="auto"/>
            <w:shd w:val="clear" w:color="auto" w:fill="auto"/>
          </w:tcPr>
          <w:p w:rsidR="00260EF1" w:rsidRPr="001469C8" w:rsidRDefault="00260EF1" w:rsidP="00173207">
            <w:pPr>
              <w:pStyle w:val="TableLeftText"/>
              <w:keepNext/>
            </w:pPr>
          </w:p>
        </w:tc>
        <w:tc>
          <w:tcPr>
            <w:tcW w:w="0" w:type="auto"/>
            <w:shd w:val="clear" w:color="auto" w:fill="CCECFF"/>
          </w:tcPr>
          <w:p w:rsidR="00260EF1" w:rsidRPr="001469C8" w:rsidRDefault="00260EF1" w:rsidP="00173207">
            <w:pPr>
              <w:pStyle w:val="TableLeftText"/>
              <w:keepNext/>
            </w:pPr>
            <w:r w:rsidRPr="001469C8">
              <w:t>Unlevered or enterprise-level</w:t>
            </w:r>
          </w:p>
        </w:tc>
        <w:tc>
          <w:tcPr>
            <w:tcW w:w="0" w:type="auto"/>
            <w:shd w:val="clear" w:color="auto" w:fill="CCECFF"/>
          </w:tcPr>
          <w:p w:rsidR="00260EF1" w:rsidRPr="001469C8" w:rsidRDefault="00260EF1" w:rsidP="00173207">
            <w:pPr>
              <w:pStyle w:val="TableLeftText"/>
              <w:keepNext/>
            </w:pPr>
            <w:r w:rsidRPr="001469C8">
              <w:t>Levered or equity-level</w:t>
            </w:r>
          </w:p>
        </w:tc>
      </w:tr>
      <w:tr w:rsidR="00260EF1" w:rsidRPr="001469C8" w:rsidTr="00173207">
        <w:trPr>
          <w:cantSplit/>
        </w:trPr>
        <w:tc>
          <w:tcPr>
            <w:tcW w:w="0" w:type="auto"/>
            <w:shd w:val="clear" w:color="auto" w:fill="auto"/>
          </w:tcPr>
          <w:p w:rsidR="00260EF1" w:rsidRPr="001469C8" w:rsidRDefault="00E3119C" w:rsidP="00173207">
            <w:pPr>
              <w:pStyle w:val="TableLeftText"/>
              <w:keepNext/>
              <w:jc w:val="left"/>
            </w:pPr>
            <w:r>
              <w:t>Net worth</w:t>
            </w:r>
            <w:r w:rsidR="00260EF1" w:rsidRPr="001469C8">
              <w:t xml:space="preserve"> </w:t>
            </w:r>
          </w:p>
        </w:tc>
        <w:tc>
          <w:tcPr>
            <w:tcW w:w="0" w:type="auto"/>
            <w:shd w:val="clear" w:color="auto" w:fill="auto"/>
          </w:tcPr>
          <w:p w:rsidR="00260EF1" w:rsidRPr="001469C8" w:rsidRDefault="00260EF1" w:rsidP="00173207">
            <w:pPr>
              <w:pStyle w:val="TableLeftText"/>
              <w:keepNext/>
              <w:jc w:val="left"/>
            </w:pPr>
            <w:r w:rsidRPr="001469C8">
              <w:t>Net enterprise assets or invested capital</w:t>
            </w:r>
          </w:p>
        </w:tc>
        <w:tc>
          <w:tcPr>
            <w:tcW w:w="0" w:type="auto"/>
            <w:shd w:val="clear" w:color="auto" w:fill="auto"/>
          </w:tcPr>
          <w:p w:rsidR="00260EF1" w:rsidRPr="001469C8" w:rsidRDefault="00260EF1" w:rsidP="00173207">
            <w:pPr>
              <w:pStyle w:val="TableLeftText"/>
              <w:keepNext/>
              <w:jc w:val="left"/>
            </w:pPr>
            <w:r w:rsidRPr="001469C8">
              <w:t>Equity</w:t>
            </w:r>
          </w:p>
        </w:tc>
      </w:tr>
      <w:tr w:rsidR="00260EF1" w:rsidRPr="001469C8" w:rsidTr="00173207">
        <w:trPr>
          <w:cantSplit/>
        </w:trPr>
        <w:tc>
          <w:tcPr>
            <w:tcW w:w="0" w:type="auto"/>
            <w:shd w:val="clear" w:color="auto" w:fill="auto"/>
          </w:tcPr>
          <w:p w:rsidR="00260EF1" w:rsidRPr="001469C8" w:rsidRDefault="00260EF1" w:rsidP="00173207">
            <w:pPr>
              <w:pStyle w:val="TableLeftText"/>
              <w:keepNext/>
              <w:jc w:val="left"/>
            </w:pPr>
            <w:r w:rsidRPr="001469C8">
              <w:t>Turnover</w:t>
            </w:r>
          </w:p>
        </w:tc>
        <w:tc>
          <w:tcPr>
            <w:tcW w:w="0" w:type="auto"/>
            <w:shd w:val="clear" w:color="auto" w:fill="auto"/>
          </w:tcPr>
          <w:p w:rsidR="00260EF1" w:rsidRPr="001469C8" w:rsidRDefault="00260EF1" w:rsidP="00173207">
            <w:pPr>
              <w:pStyle w:val="TableLeftText"/>
              <w:keepNext/>
              <w:jc w:val="left"/>
            </w:pPr>
            <w:r w:rsidRPr="001469C8">
              <w:t>1/a = ATO = Net enterprise asset turnover = Sales/NEA</w:t>
            </w:r>
          </w:p>
        </w:tc>
        <w:tc>
          <w:tcPr>
            <w:tcW w:w="0" w:type="auto"/>
            <w:shd w:val="clear" w:color="auto" w:fill="auto"/>
          </w:tcPr>
          <w:p w:rsidR="00260EF1" w:rsidRPr="001469C8" w:rsidRDefault="00260EF1" w:rsidP="00173207">
            <w:pPr>
              <w:pStyle w:val="TableLeftText"/>
              <w:keepNext/>
              <w:jc w:val="left"/>
            </w:pPr>
          </w:p>
        </w:tc>
      </w:tr>
      <w:tr w:rsidR="00260EF1" w:rsidRPr="001469C8" w:rsidTr="00173207">
        <w:trPr>
          <w:cantSplit/>
        </w:trPr>
        <w:tc>
          <w:tcPr>
            <w:tcW w:w="0" w:type="auto"/>
            <w:shd w:val="clear" w:color="auto" w:fill="auto"/>
          </w:tcPr>
          <w:p w:rsidR="00260EF1" w:rsidRPr="001469C8" w:rsidRDefault="00260EF1" w:rsidP="00173207">
            <w:pPr>
              <w:pStyle w:val="TableLeftText"/>
              <w:keepNext/>
              <w:jc w:val="left"/>
            </w:pPr>
            <w:r w:rsidRPr="001469C8">
              <w:t>Income</w:t>
            </w:r>
          </w:p>
        </w:tc>
        <w:tc>
          <w:tcPr>
            <w:tcW w:w="0" w:type="auto"/>
            <w:shd w:val="clear" w:color="auto" w:fill="auto"/>
          </w:tcPr>
          <w:p w:rsidR="00260EF1" w:rsidRPr="001469C8" w:rsidRDefault="00260EF1" w:rsidP="00173207">
            <w:pPr>
              <w:pStyle w:val="TableLeftText"/>
              <w:keepNext/>
              <w:jc w:val="left"/>
            </w:pPr>
            <w:r w:rsidRPr="001469C8">
              <w:t xml:space="preserve">EPAT = </w:t>
            </w:r>
            <w:smartTag w:uri="urn:schemas-microsoft-com:office:smarttags" w:element="place">
              <w:smartTag w:uri="urn:schemas-microsoft-com:office:smarttags" w:element="City">
                <w:r w:rsidRPr="001469C8">
                  <w:t>Enterprise</w:t>
                </w:r>
              </w:smartTag>
            </w:smartTag>
            <w:r w:rsidRPr="001469C8">
              <w:t xml:space="preserve"> profit after taxes [aka NOPAT, unleveraged NI, EBIAT, EBIT*(1-t)]</w:t>
            </w:r>
          </w:p>
        </w:tc>
        <w:tc>
          <w:tcPr>
            <w:tcW w:w="0" w:type="auto"/>
            <w:shd w:val="clear" w:color="auto" w:fill="auto"/>
          </w:tcPr>
          <w:p w:rsidR="00260EF1" w:rsidRPr="001469C8" w:rsidRDefault="00260EF1" w:rsidP="00173207">
            <w:pPr>
              <w:pStyle w:val="TableLeftText"/>
              <w:keepNext/>
              <w:jc w:val="left"/>
            </w:pPr>
            <w:r w:rsidRPr="001469C8">
              <w:t xml:space="preserve">NI = Net Income </w:t>
            </w:r>
          </w:p>
          <w:p w:rsidR="00260EF1" w:rsidRPr="001469C8" w:rsidRDefault="00260EF1" w:rsidP="00173207">
            <w:pPr>
              <w:pStyle w:val="TableLeftText"/>
              <w:keepNext/>
              <w:jc w:val="left"/>
            </w:pPr>
            <w:r w:rsidRPr="001469C8">
              <w:t>= EPAT – Net financial expense after tax [NFEAT]</w:t>
            </w:r>
          </w:p>
        </w:tc>
      </w:tr>
      <w:tr w:rsidR="00260EF1" w:rsidRPr="001469C8" w:rsidTr="00173207">
        <w:trPr>
          <w:cantSplit/>
        </w:trPr>
        <w:tc>
          <w:tcPr>
            <w:tcW w:w="0" w:type="auto"/>
            <w:shd w:val="clear" w:color="auto" w:fill="auto"/>
          </w:tcPr>
          <w:p w:rsidR="00260EF1" w:rsidRPr="001469C8" w:rsidRDefault="00260EF1" w:rsidP="00173207">
            <w:pPr>
              <w:pStyle w:val="TableLeftText"/>
              <w:keepNext/>
              <w:jc w:val="left"/>
            </w:pPr>
            <w:r w:rsidRPr="001469C8">
              <w:t>Margin</w:t>
            </w:r>
          </w:p>
        </w:tc>
        <w:tc>
          <w:tcPr>
            <w:tcW w:w="0" w:type="auto"/>
            <w:shd w:val="clear" w:color="auto" w:fill="auto"/>
          </w:tcPr>
          <w:p w:rsidR="00260EF1" w:rsidRPr="001469C8" w:rsidRDefault="00260EF1" w:rsidP="00173207">
            <w:pPr>
              <w:pStyle w:val="TableLeftText"/>
              <w:keepNext/>
              <w:jc w:val="left"/>
            </w:pPr>
            <w:r w:rsidRPr="001469C8">
              <w:t xml:space="preserve">m = </w:t>
            </w:r>
            <w:smartTag w:uri="urn:schemas-microsoft-com:office:smarttags" w:element="City">
              <w:smartTag w:uri="urn:schemas-microsoft-com:office:smarttags" w:element="place">
                <w:r w:rsidRPr="001469C8">
                  <w:t>Enterprise</w:t>
                </w:r>
              </w:smartTag>
            </w:smartTag>
            <w:r w:rsidRPr="001469C8">
              <w:t xml:space="preserve"> profit margin after tax = EPAT/Sales</w:t>
            </w:r>
          </w:p>
        </w:tc>
        <w:tc>
          <w:tcPr>
            <w:tcW w:w="0" w:type="auto"/>
            <w:shd w:val="clear" w:color="auto" w:fill="auto"/>
          </w:tcPr>
          <w:p w:rsidR="00260EF1" w:rsidRPr="001469C8" w:rsidRDefault="00260EF1" w:rsidP="00173207">
            <w:pPr>
              <w:pStyle w:val="TableLeftText"/>
              <w:keepNext/>
              <w:jc w:val="left"/>
            </w:pPr>
            <w:r w:rsidRPr="001469C8">
              <w:t>Net margin = NI/Sales</w:t>
            </w:r>
          </w:p>
        </w:tc>
      </w:tr>
      <w:tr w:rsidR="00260EF1" w:rsidRPr="001469C8" w:rsidTr="00173207">
        <w:trPr>
          <w:cantSplit/>
        </w:trPr>
        <w:tc>
          <w:tcPr>
            <w:tcW w:w="0" w:type="auto"/>
            <w:shd w:val="clear" w:color="auto" w:fill="auto"/>
          </w:tcPr>
          <w:p w:rsidR="00260EF1" w:rsidRPr="001469C8" w:rsidRDefault="00260EF1" w:rsidP="00173207">
            <w:pPr>
              <w:pStyle w:val="TableLeftText"/>
              <w:keepNext/>
              <w:jc w:val="left"/>
            </w:pPr>
            <w:r w:rsidRPr="001469C8">
              <w:t>Cash flows</w:t>
            </w:r>
          </w:p>
        </w:tc>
        <w:tc>
          <w:tcPr>
            <w:tcW w:w="0" w:type="auto"/>
            <w:shd w:val="clear" w:color="auto" w:fill="auto"/>
          </w:tcPr>
          <w:p w:rsidR="00260EF1" w:rsidRPr="001469C8" w:rsidRDefault="00260EF1" w:rsidP="00173207">
            <w:pPr>
              <w:pStyle w:val="TableLeftText"/>
              <w:keepNext/>
              <w:jc w:val="left"/>
            </w:pPr>
            <w:r w:rsidRPr="001469C8">
              <w:t xml:space="preserve">ECF = </w:t>
            </w:r>
            <w:smartTag w:uri="urn:schemas-microsoft-com:office:smarttags" w:element="City">
              <w:smartTag w:uri="urn:schemas-microsoft-com:office:smarttags" w:element="place">
                <w:r w:rsidRPr="001469C8">
                  <w:t>Enterprise</w:t>
                </w:r>
              </w:smartTag>
            </w:smartTag>
            <w:r w:rsidRPr="001469C8">
              <w:t xml:space="preserve"> cash flows [aka free cash flows] </w:t>
            </w:r>
          </w:p>
          <w:p w:rsidR="00260EF1" w:rsidRPr="001469C8" w:rsidRDefault="00260EF1" w:rsidP="00173207">
            <w:pPr>
              <w:pStyle w:val="TableLeftText"/>
              <w:keepNext/>
              <w:jc w:val="left"/>
            </w:pPr>
            <w:r w:rsidRPr="001469C8">
              <w:t>= EPAT – Change in NEA</w:t>
            </w:r>
          </w:p>
        </w:tc>
        <w:tc>
          <w:tcPr>
            <w:tcW w:w="0" w:type="auto"/>
            <w:shd w:val="clear" w:color="auto" w:fill="auto"/>
          </w:tcPr>
          <w:p w:rsidR="00260EF1" w:rsidRPr="001469C8" w:rsidRDefault="00260EF1" w:rsidP="00173207">
            <w:pPr>
              <w:pStyle w:val="TableLeftText"/>
              <w:keepNext/>
              <w:jc w:val="left"/>
            </w:pPr>
            <w:r w:rsidRPr="001469C8">
              <w:t xml:space="preserve">Net dividends = NI – Change in equity </w:t>
            </w:r>
          </w:p>
          <w:p w:rsidR="00260EF1" w:rsidRPr="001469C8" w:rsidRDefault="00260EF1" w:rsidP="00173207">
            <w:pPr>
              <w:pStyle w:val="TableLeftText"/>
              <w:keepNext/>
              <w:jc w:val="left"/>
            </w:pPr>
            <w:r w:rsidRPr="001469C8">
              <w:t>= ECF – NFEAT + Change in NFL</w:t>
            </w:r>
          </w:p>
        </w:tc>
      </w:tr>
      <w:tr w:rsidR="00260EF1" w:rsidRPr="001469C8" w:rsidTr="00173207">
        <w:trPr>
          <w:cantSplit/>
        </w:trPr>
        <w:tc>
          <w:tcPr>
            <w:tcW w:w="0" w:type="auto"/>
            <w:shd w:val="clear" w:color="auto" w:fill="auto"/>
          </w:tcPr>
          <w:p w:rsidR="00260EF1" w:rsidRPr="001469C8" w:rsidRDefault="004C4B47" w:rsidP="00173207">
            <w:pPr>
              <w:pStyle w:val="TableLeftText"/>
              <w:keepNext/>
              <w:jc w:val="left"/>
            </w:pPr>
            <w:r>
              <w:t xml:space="preserve">Change in </w:t>
            </w:r>
            <w:r w:rsidR="00E3119C">
              <w:t>net worth</w:t>
            </w:r>
          </w:p>
        </w:tc>
        <w:tc>
          <w:tcPr>
            <w:tcW w:w="0" w:type="auto"/>
            <w:shd w:val="clear" w:color="auto" w:fill="auto"/>
          </w:tcPr>
          <w:p w:rsidR="00260EF1" w:rsidRPr="001469C8" w:rsidRDefault="00260EF1" w:rsidP="00173207">
            <w:pPr>
              <w:pStyle w:val="TableLeftText"/>
              <w:keepNext/>
              <w:jc w:val="left"/>
            </w:pPr>
            <w:r w:rsidRPr="001469C8">
              <w:t xml:space="preserve">Change in invested capital = Comprehensive EPAT – </w:t>
            </w:r>
            <w:smartTag w:uri="urn:schemas-microsoft-com:office:smarttags" w:element="place">
              <w:smartTag w:uri="urn:schemas-microsoft-com:office:smarttags" w:element="City">
                <w:r w:rsidRPr="001469C8">
                  <w:t>Enterprise</w:t>
                </w:r>
              </w:smartTag>
            </w:smartTag>
            <w:r w:rsidRPr="001469C8">
              <w:t xml:space="preserve"> cash flows</w:t>
            </w:r>
          </w:p>
        </w:tc>
        <w:tc>
          <w:tcPr>
            <w:tcW w:w="0" w:type="auto"/>
            <w:shd w:val="clear" w:color="auto" w:fill="auto"/>
          </w:tcPr>
          <w:p w:rsidR="00260EF1" w:rsidRPr="001469C8" w:rsidRDefault="00260EF1" w:rsidP="00173207">
            <w:pPr>
              <w:pStyle w:val="TableLeftText"/>
              <w:keepNext/>
              <w:jc w:val="left"/>
            </w:pPr>
            <w:r w:rsidRPr="001469C8">
              <w:t xml:space="preserve">Change in equity </w:t>
            </w:r>
          </w:p>
          <w:p w:rsidR="00260EF1" w:rsidRPr="001469C8" w:rsidRDefault="00260EF1" w:rsidP="00E60B23">
            <w:pPr>
              <w:pStyle w:val="TableLeftText"/>
              <w:keepNext/>
              <w:jc w:val="left"/>
            </w:pPr>
            <w:r w:rsidRPr="001469C8">
              <w:t xml:space="preserve">= </w:t>
            </w:r>
            <w:r w:rsidR="00E60B23">
              <w:t>NI</w:t>
            </w:r>
            <w:r w:rsidRPr="001469C8">
              <w:t xml:space="preserve"> – Net dividends</w:t>
            </w:r>
          </w:p>
        </w:tc>
      </w:tr>
      <w:tr w:rsidR="00260EF1" w:rsidRPr="001469C8" w:rsidTr="00173207">
        <w:trPr>
          <w:cantSplit/>
        </w:trPr>
        <w:tc>
          <w:tcPr>
            <w:tcW w:w="0" w:type="auto"/>
            <w:shd w:val="clear" w:color="auto" w:fill="auto"/>
          </w:tcPr>
          <w:p w:rsidR="00260EF1" w:rsidRPr="001469C8" w:rsidRDefault="00260EF1" w:rsidP="00173207">
            <w:pPr>
              <w:pStyle w:val="TableLeftText"/>
              <w:keepNext/>
              <w:jc w:val="left"/>
            </w:pPr>
            <w:r w:rsidRPr="001469C8">
              <w:t>Return on investment</w:t>
            </w:r>
          </w:p>
        </w:tc>
        <w:tc>
          <w:tcPr>
            <w:tcW w:w="0" w:type="auto"/>
            <w:shd w:val="clear" w:color="auto" w:fill="auto"/>
          </w:tcPr>
          <w:p w:rsidR="00260EF1" w:rsidRPr="001469C8" w:rsidRDefault="00260EF1" w:rsidP="00173207">
            <w:pPr>
              <w:pStyle w:val="TableLeftText"/>
              <w:keepNext/>
              <w:jc w:val="left"/>
            </w:pPr>
            <w:r w:rsidRPr="001469C8">
              <w:t>ROIC = Return on IC = EPAT/IC = RNEA = Return on NEA = EPAT/NEA</w:t>
            </w:r>
          </w:p>
        </w:tc>
        <w:tc>
          <w:tcPr>
            <w:tcW w:w="0" w:type="auto"/>
            <w:shd w:val="clear" w:color="auto" w:fill="auto"/>
          </w:tcPr>
          <w:p w:rsidR="00260EF1" w:rsidRPr="001469C8" w:rsidRDefault="00260EF1" w:rsidP="00173207">
            <w:pPr>
              <w:pStyle w:val="TableLeftText"/>
              <w:keepNext/>
              <w:jc w:val="left"/>
            </w:pPr>
            <w:r w:rsidRPr="001469C8">
              <w:t>ROE = Return on EQ = NI/EQ</w:t>
            </w:r>
          </w:p>
        </w:tc>
      </w:tr>
      <w:tr w:rsidR="00260EF1" w:rsidRPr="001469C8" w:rsidTr="00173207">
        <w:trPr>
          <w:cantSplit/>
        </w:trPr>
        <w:tc>
          <w:tcPr>
            <w:tcW w:w="0" w:type="auto"/>
            <w:shd w:val="clear" w:color="auto" w:fill="auto"/>
          </w:tcPr>
          <w:p w:rsidR="00260EF1" w:rsidRPr="001469C8" w:rsidRDefault="00260EF1" w:rsidP="00173207">
            <w:pPr>
              <w:pStyle w:val="TableLeftText"/>
              <w:jc w:val="left"/>
            </w:pPr>
            <w:r w:rsidRPr="001469C8">
              <w:t xml:space="preserve">Cost of capital: </w:t>
            </w:r>
          </w:p>
          <w:p w:rsidR="00260EF1" w:rsidRPr="001469C8" w:rsidRDefault="00260EF1" w:rsidP="00173207">
            <w:pPr>
              <w:pStyle w:val="TableLeftText"/>
              <w:jc w:val="left"/>
            </w:pPr>
            <w:r w:rsidRPr="001469C8">
              <w:t>Discount rate</w:t>
            </w:r>
          </w:p>
        </w:tc>
        <w:tc>
          <w:tcPr>
            <w:tcW w:w="0" w:type="auto"/>
            <w:shd w:val="clear" w:color="auto" w:fill="auto"/>
          </w:tcPr>
          <w:p w:rsidR="00260EF1" w:rsidRPr="001469C8" w:rsidRDefault="00260EF1" w:rsidP="00173207">
            <w:pPr>
              <w:pStyle w:val="TableLeftText"/>
              <w:jc w:val="left"/>
            </w:pPr>
            <w:r w:rsidRPr="001469C8">
              <w:t xml:space="preserve">Weighted average cost of capital (WACC) = </w:t>
            </w:r>
            <w:smartTag w:uri="urn:schemas-microsoft-com:office:smarttags" w:element="City">
              <w:smartTag w:uri="urn:schemas-microsoft-com:office:smarttags" w:element="place">
                <w:r w:rsidRPr="001469C8">
                  <w:t>Enterprise</w:t>
                </w:r>
              </w:smartTag>
            </w:smartTag>
            <w:r w:rsidRPr="001469C8">
              <w:t xml:space="preserve"> cost of capital; depends on risk-free rate and enterprise risk; growth comes with risk.</w:t>
            </w:r>
          </w:p>
        </w:tc>
        <w:tc>
          <w:tcPr>
            <w:tcW w:w="0" w:type="auto"/>
            <w:shd w:val="clear" w:color="auto" w:fill="auto"/>
          </w:tcPr>
          <w:p w:rsidR="00260EF1" w:rsidRPr="001469C8" w:rsidRDefault="0017539E" w:rsidP="00173207">
            <w:pPr>
              <w:pStyle w:val="TableLeftText"/>
              <w:jc w:val="left"/>
            </w:pPr>
            <w:r>
              <w:t>r</w:t>
            </w:r>
            <w:r w:rsidR="00260EF1" w:rsidRPr="00173207">
              <w:rPr>
                <w:vertAlign w:val="subscript"/>
              </w:rPr>
              <w:t>e</w:t>
            </w:r>
            <w:r>
              <w:t xml:space="preserve"> </w:t>
            </w:r>
            <w:r w:rsidR="00260EF1" w:rsidRPr="001469C8">
              <w:t>= cost of equity; depends on wacc and leverage</w:t>
            </w:r>
          </w:p>
        </w:tc>
      </w:tr>
      <w:tr w:rsidR="00260EF1" w:rsidRPr="001469C8" w:rsidTr="00173207">
        <w:trPr>
          <w:cantSplit/>
        </w:trPr>
        <w:tc>
          <w:tcPr>
            <w:tcW w:w="0" w:type="auto"/>
            <w:shd w:val="clear" w:color="auto" w:fill="auto"/>
          </w:tcPr>
          <w:p w:rsidR="00260EF1" w:rsidRPr="001469C8" w:rsidRDefault="00260EF1" w:rsidP="00173207">
            <w:pPr>
              <w:pStyle w:val="TableLeftText"/>
              <w:jc w:val="left"/>
            </w:pPr>
            <w:r w:rsidRPr="001469C8">
              <w:t>Value</w:t>
            </w:r>
          </w:p>
        </w:tc>
        <w:tc>
          <w:tcPr>
            <w:tcW w:w="0" w:type="auto"/>
            <w:shd w:val="clear" w:color="auto" w:fill="auto"/>
          </w:tcPr>
          <w:p w:rsidR="00260EF1" w:rsidRPr="001469C8" w:rsidRDefault="00260EF1" w:rsidP="00173207">
            <w:pPr>
              <w:pStyle w:val="TableLeftText"/>
              <w:jc w:val="left"/>
            </w:pPr>
            <w:smartTag w:uri="urn:schemas-microsoft-com:office:smarttags" w:element="City">
              <w:smartTag w:uri="urn:schemas-microsoft-com:office:smarttags" w:element="place">
                <w:r w:rsidRPr="001469C8">
                  <w:t>Enterprise</w:t>
                </w:r>
              </w:smartTag>
            </w:smartTag>
            <w:r w:rsidRPr="001469C8">
              <w:t xml:space="preserve"> value = MV of NEA = PV of ECF</w:t>
            </w:r>
          </w:p>
          <w:p w:rsidR="00260EF1" w:rsidRPr="001469C8" w:rsidRDefault="00260EF1" w:rsidP="00173207">
            <w:pPr>
              <w:pStyle w:val="TableLeftText"/>
              <w:jc w:val="left"/>
            </w:pPr>
            <w:r w:rsidRPr="001469C8">
              <w:t>Discounted cash flow (DCF) model</w:t>
            </w:r>
          </w:p>
        </w:tc>
        <w:tc>
          <w:tcPr>
            <w:tcW w:w="0" w:type="auto"/>
            <w:shd w:val="clear" w:color="auto" w:fill="auto"/>
          </w:tcPr>
          <w:p w:rsidR="00260EF1" w:rsidRPr="001469C8" w:rsidRDefault="00260EF1" w:rsidP="00173207">
            <w:pPr>
              <w:pStyle w:val="TableLeftText"/>
              <w:jc w:val="left"/>
            </w:pPr>
            <w:r w:rsidRPr="001469C8">
              <w:t xml:space="preserve">Equity value = PV of future dividends (DDM) </w:t>
            </w:r>
            <w:smartTag w:uri="urn:schemas-microsoft-com:office:smarttags" w:element="City">
              <w:smartTag w:uri="urn:schemas-microsoft-com:office:smarttags" w:element="place">
                <w:r w:rsidRPr="001469C8">
                  <w:t>Enterprise</w:t>
                </w:r>
              </w:smartTag>
            </w:smartTag>
            <w:r w:rsidRPr="001469C8">
              <w:t xml:space="preserve"> value – MV of NFL</w:t>
            </w:r>
          </w:p>
        </w:tc>
      </w:tr>
      <w:tr w:rsidR="00260EF1" w:rsidRPr="001469C8" w:rsidTr="00173207">
        <w:trPr>
          <w:cantSplit/>
        </w:trPr>
        <w:tc>
          <w:tcPr>
            <w:tcW w:w="0" w:type="auto"/>
            <w:tcBorders>
              <w:bottom w:val="dashed" w:sz="4" w:space="0" w:color="auto"/>
            </w:tcBorders>
            <w:shd w:val="clear" w:color="auto" w:fill="auto"/>
          </w:tcPr>
          <w:p w:rsidR="00260EF1" w:rsidRPr="001469C8" w:rsidRDefault="00260EF1" w:rsidP="00173207">
            <w:pPr>
              <w:pStyle w:val="TableLeftText"/>
              <w:jc w:val="left"/>
            </w:pPr>
            <w:r w:rsidRPr="001469C8">
              <w:t>Relative valuation</w:t>
            </w:r>
          </w:p>
        </w:tc>
        <w:tc>
          <w:tcPr>
            <w:tcW w:w="0" w:type="auto"/>
            <w:tcBorders>
              <w:bottom w:val="dashed" w:sz="4" w:space="0" w:color="auto"/>
            </w:tcBorders>
            <w:shd w:val="clear" w:color="auto" w:fill="auto"/>
          </w:tcPr>
          <w:p w:rsidR="00260EF1" w:rsidRPr="001469C8" w:rsidRDefault="00260EF1" w:rsidP="00173207">
            <w:pPr>
              <w:pStyle w:val="TableLeftText"/>
              <w:jc w:val="left"/>
            </w:pPr>
            <w:r w:rsidRPr="001469C8">
              <w:t>“</w:t>
            </w:r>
            <w:r w:rsidR="00D85904">
              <w:t>Enterprise cash flow</w:t>
            </w:r>
            <w:r w:rsidRPr="001469C8">
              <w:t xml:space="preserve"> yield”: Expected ECF/EV</w:t>
            </w:r>
          </w:p>
        </w:tc>
        <w:tc>
          <w:tcPr>
            <w:tcW w:w="0" w:type="auto"/>
            <w:tcBorders>
              <w:bottom w:val="dashed" w:sz="4" w:space="0" w:color="auto"/>
            </w:tcBorders>
            <w:shd w:val="clear" w:color="auto" w:fill="auto"/>
          </w:tcPr>
          <w:p w:rsidR="00260EF1" w:rsidRPr="001469C8" w:rsidRDefault="00260EF1" w:rsidP="00173207">
            <w:pPr>
              <w:pStyle w:val="TableLeftText"/>
              <w:jc w:val="left"/>
            </w:pPr>
            <w:r w:rsidRPr="001469C8">
              <w:t>E</w:t>
            </w:r>
            <w:r w:rsidR="00C9378D">
              <w:t xml:space="preserve">xpected dividends/Equity value: </w:t>
            </w:r>
            <w:r w:rsidRPr="001469C8">
              <w:t>Dividend growth model</w:t>
            </w:r>
          </w:p>
        </w:tc>
      </w:tr>
      <w:tr w:rsidR="00260EF1" w:rsidRPr="001469C8" w:rsidTr="00173207">
        <w:trPr>
          <w:cantSplit/>
        </w:trPr>
        <w:tc>
          <w:tcPr>
            <w:tcW w:w="0" w:type="auto"/>
            <w:tcBorders>
              <w:top w:val="dashed" w:sz="4" w:space="0" w:color="auto"/>
              <w:bottom w:val="dashed" w:sz="4" w:space="0" w:color="auto"/>
            </w:tcBorders>
            <w:shd w:val="clear" w:color="auto" w:fill="auto"/>
          </w:tcPr>
          <w:p w:rsidR="00260EF1" w:rsidRPr="001469C8" w:rsidRDefault="00260EF1" w:rsidP="00173207">
            <w:pPr>
              <w:pStyle w:val="TableLeftText"/>
              <w:jc w:val="left"/>
            </w:pPr>
          </w:p>
        </w:tc>
        <w:tc>
          <w:tcPr>
            <w:tcW w:w="0" w:type="auto"/>
            <w:tcBorders>
              <w:top w:val="dashed" w:sz="4" w:space="0" w:color="auto"/>
              <w:bottom w:val="dashed" w:sz="4" w:space="0" w:color="auto"/>
            </w:tcBorders>
            <w:shd w:val="clear" w:color="auto" w:fill="auto"/>
          </w:tcPr>
          <w:p w:rsidR="00260EF1" w:rsidRPr="001469C8" w:rsidRDefault="00260EF1" w:rsidP="00173207">
            <w:pPr>
              <w:pStyle w:val="TableLeftText"/>
              <w:jc w:val="left"/>
            </w:pPr>
            <w:r w:rsidRPr="001469C8">
              <w:t xml:space="preserve">“Price to book”: EV/NEA </w:t>
            </w:r>
          </w:p>
        </w:tc>
        <w:tc>
          <w:tcPr>
            <w:tcW w:w="0" w:type="auto"/>
            <w:tcBorders>
              <w:top w:val="dashed" w:sz="4" w:space="0" w:color="auto"/>
              <w:bottom w:val="dashed" w:sz="4" w:space="0" w:color="auto"/>
            </w:tcBorders>
            <w:shd w:val="clear" w:color="auto" w:fill="auto"/>
          </w:tcPr>
          <w:p w:rsidR="00260EF1" w:rsidRPr="001469C8" w:rsidRDefault="00260EF1" w:rsidP="00173207">
            <w:pPr>
              <w:pStyle w:val="TableLeftText"/>
              <w:jc w:val="left"/>
            </w:pPr>
            <w:r w:rsidRPr="001469C8">
              <w:t>Equity value/Book value of equity: Book value growth model or residual income model (RIV)</w:t>
            </w:r>
          </w:p>
        </w:tc>
      </w:tr>
      <w:tr w:rsidR="00260EF1" w:rsidRPr="001469C8" w:rsidTr="00173207">
        <w:trPr>
          <w:cantSplit/>
        </w:trPr>
        <w:tc>
          <w:tcPr>
            <w:tcW w:w="0" w:type="auto"/>
            <w:tcBorders>
              <w:top w:val="dashed" w:sz="4" w:space="0" w:color="auto"/>
            </w:tcBorders>
            <w:shd w:val="clear" w:color="auto" w:fill="auto"/>
          </w:tcPr>
          <w:p w:rsidR="00260EF1" w:rsidRPr="001469C8" w:rsidRDefault="00260EF1" w:rsidP="00173207">
            <w:pPr>
              <w:pStyle w:val="TableLeftText"/>
              <w:jc w:val="left"/>
            </w:pPr>
          </w:p>
        </w:tc>
        <w:tc>
          <w:tcPr>
            <w:tcW w:w="0" w:type="auto"/>
            <w:tcBorders>
              <w:top w:val="dashed" w:sz="4" w:space="0" w:color="auto"/>
            </w:tcBorders>
            <w:shd w:val="clear" w:color="auto" w:fill="auto"/>
          </w:tcPr>
          <w:p w:rsidR="00260EF1" w:rsidRPr="001469C8" w:rsidRDefault="00260EF1" w:rsidP="00173207">
            <w:pPr>
              <w:pStyle w:val="TableLeftText"/>
              <w:jc w:val="left"/>
            </w:pPr>
            <w:r w:rsidRPr="001469C8">
              <w:t>“Price to forward earnings”: EV/Expected EPAT</w:t>
            </w:r>
          </w:p>
        </w:tc>
        <w:tc>
          <w:tcPr>
            <w:tcW w:w="0" w:type="auto"/>
            <w:tcBorders>
              <w:top w:val="dashed" w:sz="4" w:space="0" w:color="auto"/>
            </w:tcBorders>
            <w:shd w:val="clear" w:color="auto" w:fill="auto"/>
          </w:tcPr>
          <w:p w:rsidR="00260EF1" w:rsidRPr="001469C8" w:rsidRDefault="00260EF1" w:rsidP="00173207">
            <w:pPr>
              <w:pStyle w:val="TableLeftText"/>
              <w:jc w:val="left"/>
            </w:pPr>
            <w:r w:rsidRPr="001469C8">
              <w:t>Equity value/Expected NI: Earnings growth model (AEG)</w:t>
            </w:r>
          </w:p>
        </w:tc>
      </w:tr>
      <w:tr w:rsidR="00260EF1" w:rsidRPr="001469C8" w:rsidTr="00173207">
        <w:trPr>
          <w:cantSplit/>
        </w:trPr>
        <w:tc>
          <w:tcPr>
            <w:tcW w:w="0" w:type="auto"/>
            <w:shd w:val="clear" w:color="auto" w:fill="auto"/>
          </w:tcPr>
          <w:p w:rsidR="00260EF1" w:rsidRPr="001469C8" w:rsidRDefault="00260EF1" w:rsidP="00173207">
            <w:pPr>
              <w:pStyle w:val="TableLeftText"/>
              <w:keepNext/>
              <w:jc w:val="left"/>
            </w:pPr>
            <w:r w:rsidRPr="001469C8">
              <w:t>Cash flow drivers</w:t>
            </w:r>
          </w:p>
        </w:tc>
        <w:tc>
          <w:tcPr>
            <w:tcW w:w="0" w:type="auto"/>
            <w:shd w:val="clear" w:color="auto" w:fill="auto"/>
          </w:tcPr>
          <w:p w:rsidR="00260EF1" w:rsidRPr="001469C8" w:rsidRDefault="00260EF1" w:rsidP="00173207">
            <w:pPr>
              <w:pStyle w:val="TableLeftText"/>
              <w:keepNext/>
              <w:jc w:val="left"/>
            </w:pPr>
            <w:r w:rsidRPr="001469C8">
              <w:t>ECF = EPAT – Change in NEA = NEA * (RNEA – growth rate in NEA) = Sales * (m – a * growth rate in NEA)</w:t>
            </w:r>
          </w:p>
          <w:p w:rsidR="00260EF1" w:rsidRPr="001469C8" w:rsidRDefault="00260EF1" w:rsidP="00173207">
            <w:pPr>
              <w:pStyle w:val="TableLeftText"/>
              <w:keepNext/>
              <w:jc w:val="left"/>
            </w:pPr>
            <w:r w:rsidRPr="001469C8">
              <w:t xml:space="preserve">Drivers: Sales and sales growth, margin (m), and NEA intensity (a) </w:t>
            </w:r>
          </w:p>
        </w:tc>
        <w:tc>
          <w:tcPr>
            <w:tcW w:w="0" w:type="auto"/>
            <w:shd w:val="clear" w:color="auto" w:fill="auto"/>
          </w:tcPr>
          <w:p w:rsidR="00260EF1" w:rsidRPr="001469C8" w:rsidRDefault="00C9378D" w:rsidP="00C9378D">
            <w:pPr>
              <w:pStyle w:val="TableLeftText"/>
              <w:keepNext/>
              <w:jc w:val="left"/>
            </w:pPr>
            <w:r>
              <w:t>Financial policy and</w:t>
            </w:r>
            <w:r w:rsidR="00260EF1" w:rsidRPr="001469C8">
              <w:t xml:space="preserve"> ECF drivers</w:t>
            </w:r>
          </w:p>
        </w:tc>
      </w:tr>
    </w:tbl>
    <w:p w:rsidR="00260EF1" w:rsidRDefault="00260EF1" w:rsidP="00260EF1"/>
    <w:p w:rsidR="008A206A" w:rsidRDefault="008A206A" w:rsidP="00305C7F">
      <w:pPr>
        <w:pStyle w:val="BodyText"/>
        <w:ind w:left="504"/>
      </w:pPr>
    </w:p>
    <w:sectPr w:rsidR="008A20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997" w:rsidRDefault="00E00997">
      <w:r>
        <w:separator/>
      </w:r>
    </w:p>
  </w:endnote>
  <w:endnote w:type="continuationSeparator" w:id="0">
    <w:p w:rsidR="00E00997" w:rsidRDefault="00E0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9DC" w:rsidRDefault="00B039DC" w:rsidP="00240E03">
    <w:pPr>
      <w:pStyle w:val="Footer"/>
      <w:tabs>
        <w:tab w:val="clear" w:pos="4320"/>
      </w:tabs>
    </w:pPr>
    <w:r>
      <w:fldChar w:fldCharType="begin"/>
    </w:r>
    <w:r>
      <w:instrText xml:space="preserve"> DATE \@ "MMMM d, yyyy" </w:instrText>
    </w:r>
    <w:r>
      <w:fldChar w:fldCharType="separate"/>
    </w:r>
    <w:r w:rsidR="001B38B7">
      <w:rPr>
        <w:noProof/>
      </w:rPr>
      <w:t>September 3, 2016</w:t>
    </w:r>
    <w:r>
      <w:fldChar w:fldCharType="end"/>
    </w:r>
    <w:r>
      <w:t xml:space="preserve"> Visit </w:t>
    </w:r>
    <w:hyperlink r:id="rId1" w:history="1">
      <w:r w:rsidRPr="00744C6D">
        <w:rPr>
          <w:rStyle w:val="Hyperlink"/>
        </w:rPr>
        <w:t>http://www.godeohlson.com/</w:t>
      </w:r>
    </w:hyperlink>
    <w:r>
      <w:t xml:space="preserve"> for updates.</w:t>
    </w:r>
    <w:r>
      <w:tab/>
    </w:r>
    <w:r>
      <w:fldChar w:fldCharType="begin"/>
    </w:r>
    <w:r>
      <w:instrText xml:space="preserve"> PAGE </w:instrText>
    </w:r>
    <w:r>
      <w:fldChar w:fldCharType="separate"/>
    </w:r>
    <w:r w:rsidR="001B38B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997" w:rsidRDefault="00E00997">
      <w:r>
        <w:separator/>
      </w:r>
    </w:p>
  </w:footnote>
  <w:footnote w:type="continuationSeparator" w:id="0">
    <w:p w:rsidR="00E00997" w:rsidRDefault="00E00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9DC" w:rsidRDefault="003C4594" w:rsidP="00240E03">
    <w:pPr>
      <w:pStyle w:val="Header"/>
      <w:tabs>
        <w:tab w:val="clear" w:pos="4320"/>
      </w:tabs>
    </w:pPr>
    <w:r>
      <w:t xml:space="preserve">Instructions and </w:t>
    </w:r>
    <w:r w:rsidR="00260EF1">
      <w:t>Acronyms</w:t>
    </w:r>
    <w:r w:rsidR="00B039DC">
      <w:tab/>
    </w:r>
    <w:r w:rsidR="00B039DC">
      <w:rPr>
        <w:rStyle w:val="PageNumber"/>
      </w:rPr>
      <w:fldChar w:fldCharType="begin"/>
    </w:r>
    <w:r w:rsidR="00B039DC">
      <w:rPr>
        <w:rStyle w:val="PageNumber"/>
      </w:rPr>
      <w:instrText xml:space="preserve"> PAGE </w:instrText>
    </w:r>
    <w:r w:rsidR="00B039DC">
      <w:rPr>
        <w:rStyle w:val="PageNumber"/>
      </w:rPr>
      <w:fldChar w:fldCharType="separate"/>
    </w:r>
    <w:r w:rsidR="001B38B7">
      <w:rPr>
        <w:rStyle w:val="PageNumber"/>
        <w:noProof/>
      </w:rPr>
      <w:t>1</w:t>
    </w:r>
    <w:r w:rsidR="00B039DC">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555D"/>
    <w:multiLevelType w:val="multilevel"/>
    <w:tmpl w:val="8728A3A4"/>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 w15:restartNumberingAfterBreak="0">
    <w:nsid w:val="16E7484F"/>
    <w:multiLevelType w:val="multilevel"/>
    <w:tmpl w:val="29529492"/>
    <w:numStyleLink w:val="ListBulleted"/>
  </w:abstractNum>
  <w:abstractNum w:abstractNumId="2" w15:restartNumberingAfterBreak="0">
    <w:nsid w:val="1A6D07FD"/>
    <w:multiLevelType w:val="multilevel"/>
    <w:tmpl w:val="95D6D198"/>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368"/>
        </w:tabs>
        <w:ind w:left="1368" w:hanging="1368"/>
      </w:pPr>
      <w:rPr>
        <w:rFonts w:hint="default"/>
      </w:rPr>
    </w:lvl>
    <w:lvl w:ilvl="5">
      <w:start w:val="1"/>
      <w:numFmt w:val="decimal"/>
      <w:lvlText w:val="%1.%2.%3.%4.%5.%6"/>
      <w:lvlJc w:val="left"/>
      <w:pPr>
        <w:tabs>
          <w:tab w:val="num" w:pos="1512"/>
        </w:tabs>
        <w:ind w:left="1512" w:hanging="1512"/>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944"/>
        </w:tabs>
        <w:ind w:left="1944" w:hanging="1944"/>
      </w:pPr>
      <w:rPr>
        <w:rFonts w:hint="default"/>
      </w:rPr>
    </w:lvl>
  </w:abstractNum>
  <w:abstractNum w:abstractNumId="3" w15:restartNumberingAfterBreak="0">
    <w:nsid w:val="1F5C38B0"/>
    <w:multiLevelType w:val="multilevel"/>
    <w:tmpl w:val="29529492"/>
    <w:numStyleLink w:val="ListBulleted"/>
  </w:abstractNum>
  <w:abstractNum w:abstractNumId="4" w15:restartNumberingAfterBreak="0">
    <w:nsid w:val="207F64A6"/>
    <w:multiLevelType w:val="hybridMultilevel"/>
    <w:tmpl w:val="EFA2E2FA"/>
    <w:lvl w:ilvl="0" w:tplc="49C8F9BC">
      <w:start w:val="1"/>
      <w:numFmt w:val="bullet"/>
      <w:pStyle w:val="Indentedlist"/>
      <w:lvlText w:val=""/>
      <w:lvlJc w:val="left"/>
      <w:pPr>
        <w:tabs>
          <w:tab w:val="num" w:pos="1008"/>
        </w:tabs>
        <w:ind w:left="1008"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0F0EF9"/>
    <w:multiLevelType w:val="multilevel"/>
    <w:tmpl w:val="0ADC1FC8"/>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F866A96"/>
    <w:multiLevelType w:val="multilevel"/>
    <w:tmpl w:val="E24C27B4"/>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368"/>
        </w:tabs>
        <w:ind w:left="1368" w:hanging="1368"/>
      </w:pPr>
      <w:rPr>
        <w:rFonts w:hint="default"/>
      </w:rPr>
    </w:lvl>
    <w:lvl w:ilvl="5">
      <w:start w:val="1"/>
      <w:numFmt w:val="decimal"/>
      <w:lvlText w:val="%1.%2.%3.%4.%5.%6"/>
      <w:lvlJc w:val="left"/>
      <w:pPr>
        <w:tabs>
          <w:tab w:val="num" w:pos="1512"/>
        </w:tabs>
        <w:ind w:left="1512" w:hanging="1512"/>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944"/>
        </w:tabs>
        <w:ind w:left="1944" w:hanging="1944"/>
      </w:pPr>
      <w:rPr>
        <w:rFonts w:hint="default"/>
      </w:rPr>
    </w:lvl>
  </w:abstractNum>
  <w:abstractNum w:abstractNumId="7" w15:restartNumberingAfterBreak="0">
    <w:nsid w:val="378A61FE"/>
    <w:multiLevelType w:val="multilevel"/>
    <w:tmpl w:val="E30E3590"/>
    <w:styleLink w:val="ListOutlineNumbered"/>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800"/>
        </w:tabs>
        <w:ind w:left="1800" w:hanging="792"/>
      </w:pPr>
      <w:rPr>
        <w:rFonts w:hint="default"/>
      </w:rPr>
    </w:lvl>
    <w:lvl w:ilvl="3">
      <w:start w:val="1"/>
      <w:numFmt w:val="decimal"/>
      <w:lvlText w:val="%1.%2.%3.%4."/>
      <w:lvlJc w:val="left"/>
      <w:pPr>
        <w:tabs>
          <w:tab w:val="num" w:pos="2736"/>
        </w:tabs>
        <w:ind w:left="2736" w:hanging="936"/>
      </w:pPr>
      <w:rPr>
        <w:rFonts w:hint="default"/>
      </w:rPr>
    </w:lvl>
    <w:lvl w:ilvl="4">
      <w:start w:val="1"/>
      <w:numFmt w:val="decimal"/>
      <w:lvlText w:val="%1.%2.%3.%4.%5."/>
      <w:lvlJc w:val="left"/>
      <w:pPr>
        <w:tabs>
          <w:tab w:val="num" w:pos="3816"/>
        </w:tabs>
        <w:ind w:left="3816"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B450AB2"/>
    <w:multiLevelType w:val="multilevel"/>
    <w:tmpl w:val="9A4CBF2E"/>
    <w:styleLink w:val="ListOutlineChar"/>
    <w:lvl w:ilvl="0">
      <w:start w:val="1"/>
      <w:numFmt w:val="decimal"/>
      <w:lvlText w:val="%1."/>
      <w:lvlJc w:val="left"/>
      <w:pPr>
        <w:tabs>
          <w:tab w:val="num" w:pos="504"/>
        </w:tabs>
        <w:ind w:left="504" w:hanging="504"/>
      </w:pPr>
      <w:rPr>
        <w:rFonts w:hint="default"/>
        <w:kern w:val="22"/>
        <w:sz w:val="22"/>
      </w:rPr>
    </w:lvl>
    <w:lvl w:ilvl="1">
      <w:start w:val="1"/>
      <w:numFmt w:val="lowerLetter"/>
      <w:lvlText w:val="%2."/>
      <w:lvlJc w:val="left"/>
      <w:pPr>
        <w:tabs>
          <w:tab w:val="num" w:pos="1008"/>
        </w:tabs>
        <w:ind w:left="1008" w:hanging="504"/>
      </w:pPr>
      <w:rPr>
        <w:rFonts w:hint="default"/>
        <w:sz w:val="22"/>
      </w:rPr>
    </w:lvl>
    <w:lvl w:ilvl="2">
      <w:start w:val="1"/>
      <w:numFmt w:val="lowerRoman"/>
      <w:lvlText w:val="%3."/>
      <w:lvlJc w:val="left"/>
      <w:pPr>
        <w:tabs>
          <w:tab w:val="num" w:pos="1512"/>
        </w:tabs>
        <w:ind w:left="1512"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3C8A3413"/>
    <w:multiLevelType w:val="hybridMultilevel"/>
    <w:tmpl w:val="73B0B4EA"/>
    <w:lvl w:ilvl="0" w:tplc="21D65D86">
      <w:start w:val="1"/>
      <w:numFmt w:val="bullet"/>
      <w:pStyle w:val="List"/>
      <w:lvlText w:val=""/>
      <w:lvlJc w:val="left"/>
      <w:pPr>
        <w:tabs>
          <w:tab w:val="num" w:pos="504"/>
        </w:tabs>
        <w:ind w:left="504"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132E1"/>
    <w:multiLevelType w:val="multilevel"/>
    <w:tmpl w:val="0228F732"/>
    <w:styleLink w:val="ListMultiple-choiceChar"/>
    <w:lvl w:ilvl="0">
      <w:start w:val="1"/>
      <w:numFmt w:val="lowerLetter"/>
      <w:lvlText w:val="%1."/>
      <w:lvlJc w:val="left"/>
      <w:pPr>
        <w:tabs>
          <w:tab w:val="num" w:pos="1008"/>
        </w:tabs>
        <w:ind w:left="1008" w:hanging="504"/>
      </w:pPr>
      <w:rPr>
        <w:rFonts w:hint="default"/>
      </w:rPr>
    </w:lvl>
    <w:lvl w:ilvl="1">
      <w:start w:val="1"/>
      <w:numFmt w:val="upperLetter"/>
      <w:lvlText w:val="%2."/>
      <w:lvlJc w:val="left"/>
      <w:pPr>
        <w:tabs>
          <w:tab w:val="num" w:pos="1584"/>
        </w:tabs>
        <w:ind w:left="1224" w:firstLine="0"/>
      </w:pPr>
      <w:rPr>
        <w:rFonts w:hint="default"/>
      </w:rPr>
    </w:lvl>
    <w:lvl w:ilvl="2">
      <w:start w:val="1"/>
      <w:numFmt w:val="decimal"/>
      <w:lvlText w:val="%3."/>
      <w:lvlJc w:val="left"/>
      <w:pPr>
        <w:tabs>
          <w:tab w:val="num" w:pos="2304"/>
        </w:tabs>
        <w:ind w:left="1944" w:firstLine="0"/>
      </w:pPr>
      <w:rPr>
        <w:rFonts w:hint="default"/>
      </w:rPr>
    </w:lvl>
    <w:lvl w:ilvl="3">
      <w:start w:val="1"/>
      <w:numFmt w:val="lowerLetter"/>
      <w:lvlText w:val="%4)"/>
      <w:lvlJc w:val="left"/>
      <w:pPr>
        <w:tabs>
          <w:tab w:val="num" w:pos="3024"/>
        </w:tabs>
        <w:ind w:left="2664" w:firstLine="0"/>
      </w:pPr>
      <w:rPr>
        <w:rFonts w:hint="default"/>
      </w:rPr>
    </w:lvl>
    <w:lvl w:ilvl="4">
      <w:start w:val="1"/>
      <w:numFmt w:val="decimal"/>
      <w:lvlText w:val="(%5)"/>
      <w:lvlJc w:val="left"/>
      <w:pPr>
        <w:tabs>
          <w:tab w:val="num" w:pos="3744"/>
        </w:tabs>
        <w:ind w:left="3384" w:firstLine="0"/>
      </w:pPr>
      <w:rPr>
        <w:rFonts w:hint="default"/>
      </w:rPr>
    </w:lvl>
    <w:lvl w:ilvl="5">
      <w:start w:val="1"/>
      <w:numFmt w:val="lowerLetter"/>
      <w:lvlText w:val="(%6)"/>
      <w:lvlJc w:val="left"/>
      <w:pPr>
        <w:tabs>
          <w:tab w:val="num" w:pos="4464"/>
        </w:tabs>
        <w:ind w:left="4104" w:firstLine="0"/>
      </w:pPr>
      <w:rPr>
        <w:rFonts w:hint="default"/>
      </w:rPr>
    </w:lvl>
    <w:lvl w:ilvl="6">
      <w:start w:val="1"/>
      <w:numFmt w:val="lowerRoman"/>
      <w:lvlText w:val="(%7)"/>
      <w:lvlJc w:val="left"/>
      <w:pPr>
        <w:tabs>
          <w:tab w:val="num" w:pos="5184"/>
        </w:tabs>
        <w:ind w:left="4824" w:firstLine="0"/>
      </w:pPr>
      <w:rPr>
        <w:rFonts w:hint="default"/>
      </w:rPr>
    </w:lvl>
    <w:lvl w:ilvl="7">
      <w:start w:val="1"/>
      <w:numFmt w:val="lowerLetter"/>
      <w:lvlText w:val="(%8)"/>
      <w:lvlJc w:val="left"/>
      <w:pPr>
        <w:tabs>
          <w:tab w:val="num" w:pos="5904"/>
        </w:tabs>
        <w:ind w:left="5544" w:firstLine="0"/>
      </w:pPr>
      <w:rPr>
        <w:rFonts w:hint="default"/>
      </w:rPr>
    </w:lvl>
    <w:lvl w:ilvl="8">
      <w:start w:val="1"/>
      <w:numFmt w:val="lowerRoman"/>
      <w:lvlText w:val="(%9)"/>
      <w:lvlJc w:val="left"/>
      <w:pPr>
        <w:tabs>
          <w:tab w:val="num" w:pos="6624"/>
        </w:tabs>
        <w:ind w:left="6264" w:firstLine="0"/>
      </w:pPr>
      <w:rPr>
        <w:rFonts w:hint="default"/>
      </w:rPr>
    </w:lvl>
  </w:abstractNum>
  <w:abstractNum w:abstractNumId="11" w15:restartNumberingAfterBreak="0">
    <w:nsid w:val="47705053"/>
    <w:multiLevelType w:val="multilevel"/>
    <w:tmpl w:val="0BDE7F6A"/>
    <w:numStyleLink w:val="StyleOutlinenumbered"/>
  </w:abstractNum>
  <w:abstractNum w:abstractNumId="12" w15:restartNumberingAfterBreak="0">
    <w:nsid w:val="50E4142B"/>
    <w:multiLevelType w:val="multilevel"/>
    <w:tmpl w:val="29529492"/>
    <w:numStyleLink w:val="ListBulleted"/>
  </w:abstractNum>
  <w:abstractNum w:abstractNumId="13" w15:restartNumberingAfterBreak="0">
    <w:nsid w:val="55DF06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83D7305"/>
    <w:multiLevelType w:val="multilevel"/>
    <w:tmpl w:val="0BDE7F6A"/>
    <w:numStyleLink w:val="StyleOutlinenumbered"/>
  </w:abstractNum>
  <w:abstractNum w:abstractNumId="15" w15:restartNumberingAfterBreak="0">
    <w:nsid w:val="598A3D4F"/>
    <w:multiLevelType w:val="multilevel"/>
    <w:tmpl w:val="0BDE7F6A"/>
    <w:numStyleLink w:val="StyleOutlinenumbered"/>
  </w:abstractNum>
  <w:abstractNum w:abstractNumId="16" w15:restartNumberingAfterBreak="0">
    <w:nsid w:val="6025499B"/>
    <w:multiLevelType w:val="multilevel"/>
    <w:tmpl w:val="6CB026C4"/>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368"/>
        </w:tabs>
        <w:ind w:left="1368" w:hanging="1368"/>
      </w:pPr>
      <w:rPr>
        <w:rFonts w:hint="default"/>
      </w:rPr>
    </w:lvl>
    <w:lvl w:ilvl="5">
      <w:start w:val="1"/>
      <w:numFmt w:val="decimal"/>
      <w:lvlText w:val="%1.%2.%3.%4.%5.%6"/>
      <w:lvlJc w:val="left"/>
      <w:pPr>
        <w:tabs>
          <w:tab w:val="num" w:pos="1512"/>
        </w:tabs>
        <w:ind w:left="1512" w:hanging="1512"/>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944"/>
        </w:tabs>
        <w:ind w:left="1944" w:hanging="1944"/>
      </w:pPr>
      <w:rPr>
        <w:rFonts w:hint="default"/>
      </w:rPr>
    </w:lvl>
  </w:abstractNum>
  <w:abstractNum w:abstractNumId="17" w15:restartNumberingAfterBreak="0">
    <w:nsid w:val="658C08DB"/>
    <w:multiLevelType w:val="multilevel"/>
    <w:tmpl w:val="0BDE7F6A"/>
    <w:styleLink w:val="StyleOutlinenumbered"/>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6E070B3"/>
    <w:multiLevelType w:val="multilevel"/>
    <w:tmpl w:val="29529492"/>
    <w:styleLink w:val="ListBulleted"/>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8D048A3"/>
    <w:multiLevelType w:val="multilevel"/>
    <w:tmpl w:val="22883D72"/>
    <w:styleLink w:val="ListBulletedIndented"/>
    <w:lvl w:ilvl="0">
      <w:start w:val="1"/>
      <w:numFmt w:val="bullet"/>
      <w:lvlText w:val=""/>
      <w:lvlJc w:val="left"/>
      <w:pPr>
        <w:tabs>
          <w:tab w:val="num" w:pos="1008"/>
        </w:tabs>
        <w:ind w:left="1008" w:hanging="504"/>
      </w:pPr>
      <w:rPr>
        <w:rFonts w:ascii="Wingdings" w:hAnsi="Wingdings" w:hint="default"/>
      </w:rPr>
    </w:lvl>
    <w:lvl w:ilvl="1">
      <w:start w:val="1"/>
      <w:numFmt w:val="bullet"/>
      <w:lvlText w:val=""/>
      <w:lvlJc w:val="left"/>
      <w:pPr>
        <w:tabs>
          <w:tab w:val="num" w:pos="1512"/>
        </w:tabs>
        <w:ind w:left="1512" w:hanging="504"/>
      </w:pPr>
      <w:rPr>
        <w:rFonts w:ascii="Wingdings" w:hAnsi="Wingdings" w:hint="default"/>
      </w:rPr>
    </w:lvl>
    <w:lvl w:ilvl="2">
      <w:start w:val="1"/>
      <w:numFmt w:val="bullet"/>
      <w:lvlText w:val=""/>
      <w:lvlJc w:val="left"/>
      <w:pPr>
        <w:tabs>
          <w:tab w:val="num" w:pos="2016"/>
        </w:tabs>
        <w:ind w:left="2016" w:hanging="504"/>
      </w:pPr>
      <w:rPr>
        <w:rFonts w:ascii="Wingdings" w:hAnsi="Wingdings" w:hint="default"/>
      </w:rPr>
    </w:lvl>
    <w:lvl w:ilvl="3">
      <w:start w:val="1"/>
      <w:numFmt w:val="bullet"/>
      <w:lvlText w:val=""/>
      <w:lvlJc w:val="left"/>
      <w:pPr>
        <w:tabs>
          <w:tab w:val="num" w:pos="2520"/>
        </w:tabs>
        <w:ind w:left="2520" w:hanging="504"/>
      </w:pPr>
      <w:rPr>
        <w:rFonts w:ascii="Wingdings" w:hAnsi="Wingdings" w:hint="default"/>
      </w:rPr>
    </w:lvl>
    <w:lvl w:ilvl="4">
      <w:start w:val="1"/>
      <w:numFmt w:val="bullet"/>
      <w:lvlText w:val=""/>
      <w:lvlJc w:val="left"/>
      <w:pPr>
        <w:tabs>
          <w:tab w:val="num" w:pos="2304"/>
        </w:tabs>
        <w:ind w:left="2304" w:hanging="360"/>
      </w:pPr>
      <w:rPr>
        <w:rFonts w:ascii="Symbol" w:hAnsi="Symbol" w:hint="default"/>
      </w:rPr>
    </w:lvl>
    <w:lvl w:ilvl="5">
      <w:start w:val="1"/>
      <w:numFmt w:val="bullet"/>
      <w:lvlText w:val=""/>
      <w:lvlJc w:val="left"/>
      <w:pPr>
        <w:tabs>
          <w:tab w:val="num" w:pos="2664"/>
        </w:tabs>
        <w:ind w:left="2664" w:hanging="360"/>
      </w:pPr>
      <w:rPr>
        <w:rFonts w:ascii="Wingdings" w:hAnsi="Wingdings" w:hint="default"/>
      </w:rPr>
    </w:lvl>
    <w:lvl w:ilvl="6">
      <w:start w:val="1"/>
      <w:numFmt w:val="bullet"/>
      <w:lvlText w:val=""/>
      <w:lvlJc w:val="left"/>
      <w:pPr>
        <w:tabs>
          <w:tab w:val="num" w:pos="3024"/>
        </w:tabs>
        <w:ind w:left="3024" w:hanging="360"/>
      </w:pPr>
      <w:rPr>
        <w:rFonts w:ascii="Wingdings" w:hAnsi="Wingdings" w:hint="default"/>
      </w:rPr>
    </w:lvl>
    <w:lvl w:ilvl="7">
      <w:start w:val="1"/>
      <w:numFmt w:val="bullet"/>
      <w:lvlText w:val=""/>
      <w:lvlJc w:val="left"/>
      <w:pPr>
        <w:tabs>
          <w:tab w:val="num" w:pos="3384"/>
        </w:tabs>
        <w:ind w:left="3384" w:hanging="360"/>
      </w:pPr>
      <w:rPr>
        <w:rFonts w:ascii="Symbol" w:hAnsi="Symbol" w:hint="default"/>
      </w:rPr>
    </w:lvl>
    <w:lvl w:ilvl="8">
      <w:start w:val="1"/>
      <w:numFmt w:val="bullet"/>
      <w:lvlText w:val=""/>
      <w:lvlJc w:val="left"/>
      <w:pPr>
        <w:tabs>
          <w:tab w:val="num" w:pos="3744"/>
        </w:tabs>
        <w:ind w:left="3744" w:hanging="360"/>
      </w:pPr>
      <w:rPr>
        <w:rFonts w:ascii="Symbol" w:hAnsi="Symbol" w:hint="default"/>
      </w:rPr>
    </w:lvl>
  </w:abstractNum>
  <w:abstractNum w:abstractNumId="20" w15:restartNumberingAfterBreak="0">
    <w:nsid w:val="6D7E59F0"/>
    <w:multiLevelType w:val="multilevel"/>
    <w:tmpl w:val="50EE0E1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648"/>
        </w:tabs>
        <w:ind w:left="648" w:hanging="648"/>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1DB3044"/>
    <w:multiLevelType w:val="multilevel"/>
    <w:tmpl w:val="9A4CBF2E"/>
    <w:styleLink w:val="StyleCharOutlinenumbered"/>
    <w:lvl w:ilvl="0">
      <w:start w:val="1"/>
      <w:numFmt w:val="decimal"/>
      <w:lvlText w:val="%1."/>
      <w:lvlJc w:val="left"/>
      <w:pPr>
        <w:tabs>
          <w:tab w:val="num" w:pos="504"/>
        </w:tabs>
        <w:ind w:left="504" w:hanging="504"/>
      </w:pPr>
      <w:rPr>
        <w:rFonts w:hint="default"/>
        <w:kern w:val="22"/>
        <w:sz w:val="22"/>
      </w:rPr>
    </w:lvl>
    <w:lvl w:ilvl="1">
      <w:start w:val="1"/>
      <w:numFmt w:val="lowerLetter"/>
      <w:lvlText w:val="%2."/>
      <w:lvlJc w:val="left"/>
      <w:pPr>
        <w:tabs>
          <w:tab w:val="num" w:pos="1008"/>
        </w:tabs>
        <w:ind w:left="1008" w:hanging="504"/>
      </w:pPr>
      <w:rPr>
        <w:rFonts w:hint="default"/>
        <w:sz w:val="22"/>
      </w:rPr>
    </w:lvl>
    <w:lvl w:ilvl="2">
      <w:start w:val="1"/>
      <w:numFmt w:val="lowerRoman"/>
      <w:lvlText w:val="%3."/>
      <w:lvlJc w:val="left"/>
      <w:pPr>
        <w:tabs>
          <w:tab w:val="num" w:pos="1512"/>
        </w:tabs>
        <w:ind w:left="1512"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78A35D45"/>
    <w:multiLevelType w:val="multilevel"/>
    <w:tmpl w:val="0BDE7F6A"/>
    <w:numStyleLink w:val="StyleOutlinenumbered"/>
  </w:abstractNum>
  <w:abstractNum w:abstractNumId="23" w15:restartNumberingAfterBreak="0">
    <w:nsid w:val="7E0024D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4"/>
  </w:num>
  <w:num w:numId="3">
    <w:abstractNumId w:val="9"/>
  </w:num>
  <w:num w:numId="4">
    <w:abstractNumId w:val="18"/>
  </w:num>
  <w:num w:numId="5">
    <w:abstractNumId w:val="19"/>
  </w:num>
  <w:num w:numId="6">
    <w:abstractNumId w:val="10"/>
  </w:num>
  <w:num w:numId="7">
    <w:abstractNumId w:val="8"/>
  </w:num>
  <w:num w:numId="8">
    <w:abstractNumId w:val="7"/>
  </w:num>
  <w:num w:numId="9">
    <w:abstractNumId w:val="3"/>
  </w:num>
  <w:num w:numId="10">
    <w:abstractNumId w:val="12"/>
  </w:num>
  <w:num w:numId="11">
    <w:abstractNumId w:val="17"/>
  </w:num>
  <w:num w:numId="12">
    <w:abstractNumId w:val="21"/>
  </w:num>
  <w:num w:numId="13">
    <w:abstractNumId w:val="1"/>
  </w:num>
  <w:num w:numId="14">
    <w:abstractNumId w:val="0"/>
  </w:num>
  <w:num w:numId="15">
    <w:abstractNumId w:val="2"/>
  </w:num>
  <w:num w:numId="16">
    <w:abstractNumId w:val="5"/>
  </w:num>
  <w:num w:numId="17">
    <w:abstractNumId w:val="16"/>
  </w:num>
  <w:num w:numId="18">
    <w:abstractNumId w:val="11"/>
  </w:num>
  <w:num w:numId="19">
    <w:abstractNumId w:val="6"/>
  </w:num>
  <w:num w:numId="20">
    <w:abstractNumId w:val="22"/>
  </w:num>
  <w:num w:numId="21">
    <w:abstractNumId w:val="14"/>
  </w:num>
  <w:num w:numId="22">
    <w:abstractNumId w:val="15"/>
  </w:num>
  <w:num w:numId="23">
    <w:abstractNumId w:val="23"/>
  </w:num>
  <w:num w:numId="2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FA4"/>
    <w:rsid w:val="0000080C"/>
    <w:rsid w:val="000018D8"/>
    <w:rsid w:val="00002938"/>
    <w:rsid w:val="00002CC9"/>
    <w:rsid w:val="00003EAB"/>
    <w:rsid w:val="00004B65"/>
    <w:rsid w:val="00012C0E"/>
    <w:rsid w:val="00016E4A"/>
    <w:rsid w:val="000210A7"/>
    <w:rsid w:val="00024AED"/>
    <w:rsid w:val="00024C43"/>
    <w:rsid w:val="00024F17"/>
    <w:rsid w:val="00024FA4"/>
    <w:rsid w:val="00027B9B"/>
    <w:rsid w:val="00036E91"/>
    <w:rsid w:val="00041099"/>
    <w:rsid w:val="00044B4A"/>
    <w:rsid w:val="00047EE5"/>
    <w:rsid w:val="0005615F"/>
    <w:rsid w:val="00057703"/>
    <w:rsid w:val="00062028"/>
    <w:rsid w:val="00063ECC"/>
    <w:rsid w:val="00064218"/>
    <w:rsid w:val="00064AA2"/>
    <w:rsid w:val="000650D4"/>
    <w:rsid w:val="00072ADF"/>
    <w:rsid w:val="00074202"/>
    <w:rsid w:val="00077C60"/>
    <w:rsid w:val="00080625"/>
    <w:rsid w:val="00081431"/>
    <w:rsid w:val="00082FC6"/>
    <w:rsid w:val="000902A8"/>
    <w:rsid w:val="0009115B"/>
    <w:rsid w:val="000927C0"/>
    <w:rsid w:val="00093A13"/>
    <w:rsid w:val="000A1467"/>
    <w:rsid w:val="000A17A7"/>
    <w:rsid w:val="000A2812"/>
    <w:rsid w:val="000A4C1E"/>
    <w:rsid w:val="000B1D30"/>
    <w:rsid w:val="000B2E3D"/>
    <w:rsid w:val="000B3F5E"/>
    <w:rsid w:val="000C0BB3"/>
    <w:rsid w:val="000C1A5E"/>
    <w:rsid w:val="000C2345"/>
    <w:rsid w:val="000C4430"/>
    <w:rsid w:val="000D0994"/>
    <w:rsid w:val="000D5F0A"/>
    <w:rsid w:val="000E10D5"/>
    <w:rsid w:val="000E2AB5"/>
    <w:rsid w:val="000F5C82"/>
    <w:rsid w:val="000F6230"/>
    <w:rsid w:val="000F6E14"/>
    <w:rsid w:val="000F6E3D"/>
    <w:rsid w:val="000F7E19"/>
    <w:rsid w:val="00102831"/>
    <w:rsid w:val="00103B4E"/>
    <w:rsid w:val="001073F9"/>
    <w:rsid w:val="001109C1"/>
    <w:rsid w:val="00115ADE"/>
    <w:rsid w:val="001222B8"/>
    <w:rsid w:val="001227A6"/>
    <w:rsid w:val="00130579"/>
    <w:rsid w:val="00131F61"/>
    <w:rsid w:val="00132868"/>
    <w:rsid w:val="00132FE1"/>
    <w:rsid w:val="00136584"/>
    <w:rsid w:val="001368CA"/>
    <w:rsid w:val="0014326F"/>
    <w:rsid w:val="001434C8"/>
    <w:rsid w:val="001469C8"/>
    <w:rsid w:val="0015094C"/>
    <w:rsid w:val="00152CB5"/>
    <w:rsid w:val="0015343F"/>
    <w:rsid w:val="00154D1A"/>
    <w:rsid w:val="0015599C"/>
    <w:rsid w:val="00157DE0"/>
    <w:rsid w:val="00160EAC"/>
    <w:rsid w:val="00170EA8"/>
    <w:rsid w:val="001723B1"/>
    <w:rsid w:val="00173207"/>
    <w:rsid w:val="001745EE"/>
    <w:rsid w:val="00174629"/>
    <w:rsid w:val="00174B71"/>
    <w:rsid w:val="0017539E"/>
    <w:rsid w:val="00177798"/>
    <w:rsid w:val="00180B51"/>
    <w:rsid w:val="00185B75"/>
    <w:rsid w:val="001907A9"/>
    <w:rsid w:val="001933FC"/>
    <w:rsid w:val="001940B9"/>
    <w:rsid w:val="00196592"/>
    <w:rsid w:val="001A1131"/>
    <w:rsid w:val="001A1C7C"/>
    <w:rsid w:val="001A24C0"/>
    <w:rsid w:val="001A4ED8"/>
    <w:rsid w:val="001A6279"/>
    <w:rsid w:val="001B0B76"/>
    <w:rsid w:val="001B38B7"/>
    <w:rsid w:val="001B768F"/>
    <w:rsid w:val="001C0803"/>
    <w:rsid w:val="001C3EFD"/>
    <w:rsid w:val="001D43CE"/>
    <w:rsid w:val="001D5DE7"/>
    <w:rsid w:val="001D627C"/>
    <w:rsid w:val="001E274D"/>
    <w:rsid w:val="001E40D4"/>
    <w:rsid w:val="002047BE"/>
    <w:rsid w:val="00204FC7"/>
    <w:rsid w:val="00207354"/>
    <w:rsid w:val="002118F4"/>
    <w:rsid w:val="002177BB"/>
    <w:rsid w:val="0022036A"/>
    <w:rsid w:val="002226EC"/>
    <w:rsid w:val="0022423F"/>
    <w:rsid w:val="002260C7"/>
    <w:rsid w:val="002351BD"/>
    <w:rsid w:val="0023536A"/>
    <w:rsid w:val="00240E03"/>
    <w:rsid w:val="00241173"/>
    <w:rsid w:val="00245605"/>
    <w:rsid w:val="002507EB"/>
    <w:rsid w:val="00254940"/>
    <w:rsid w:val="00260EF1"/>
    <w:rsid w:val="00265D7F"/>
    <w:rsid w:val="002679C6"/>
    <w:rsid w:val="002725C1"/>
    <w:rsid w:val="002768B7"/>
    <w:rsid w:val="002834A0"/>
    <w:rsid w:val="00283DC6"/>
    <w:rsid w:val="002852AA"/>
    <w:rsid w:val="00286890"/>
    <w:rsid w:val="00291D3E"/>
    <w:rsid w:val="00293F3B"/>
    <w:rsid w:val="002978F9"/>
    <w:rsid w:val="00297DD5"/>
    <w:rsid w:val="002A3030"/>
    <w:rsid w:val="002A3D53"/>
    <w:rsid w:val="002A4E21"/>
    <w:rsid w:val="002B3973"/>
    <w:rsid w:val="002B5332"/>
    <w:rsid w:val="002B6BDA"/>
    <w:rsid w:val="002C188E"/>
    <w:rsid w:val="002C374C"/>
    <w:rsid w:val="002D11DC"/>
    <w:rsid w:val="002D1F20"/>
    <w:rsid w:val="002D2ED7"/>
    <w:rsid w:val="002E0717"/>
    <w:rsid w:val="002E28E7"/>
    <w:rsid w:val="002F1BA8"/>
    <w:rsid w:val="002F2A0A"/>
    <w:rsid w:val="002F2C53"/>
    <w:rsid w:val="002F2D81"/>
    <w:rsid w:val="002F5547"/>
    <w:rsid w:val="00303C6B"/>
    <w:rsid w:val="00304C4F"/>
    <w:rsid w:val="00305BDA"/>
    <w:rsid w:val="00305C7F"/>
    <w:rsid w:val="00305E71"/>
    <w:rsid w:val="0031053D"/>
    <w:rsid w:val="00312365"/>
    <w:rsid w:val="00313115"/>
    <w:rsid w:val="00315362"/>
    <w:rsid w:val="00315A61"/>
    <w:rsid w:val="00320EA6"/>
    <w:rsid w:val="003210ED"/>
    <w:rsid w:val="00323942"/>
    <w:rsid w:val="0032667C"/>
    <w:rsid w:val="003307C8"/>
    <w:rsid w:val="00330E3F"/>
    <w:rsid w:val="0033221D"/>
    <w:rsid w:val="003347F8"/>
    <w:rsid w:val="00335DFA"/>
    <w:rsid w:val="00336AF0"/>
    <w:rsid w:val="0034046F"/>
    <w:rsid w:val="003406F2"/>
    <w:rsid w:val="00342A32"/>
    <w:rsid w:val="0034563B"/>
    <w:rsid w:val="003456F8"/>
    <w:rsid w:val="0035082D"/>
    <w:rsid w:val="00350AA4"/>
    <w:rsid w:val="00353547"/>
    <w:rsid w:val="00353B97"/>
    <w:rsid w:val="00353DA5"/>
    <w:rsid w:val="00354337"/>
    <w:rsid w:val="00356D65"/>
    <w:rsid w:val="00363129"/>
    <w:rsid w:val="00366F92"/>
    <w:rsid w:val="00372670"/>
    <w:rsid w:val="00373596"/>
    <w:rsid w:val="0037459F"/>
    <w:rsid w:val="00375161"/>
    <w:rsid w:val="00376F13"/>
    <w:rsid w:val="00385C16"/>
    <w:rsid w:val="00385FAE"/>
    <w:rsid w:val="0038636D"/>
    <w:rsid w:val="00390BC4"/>
    <w:rsid w:val="003A0386"/>
    <w:rsid w:val="003A16BF"/>
    <w:rsid w:val="003A1EC4"/>
    <w:rsid w:val="003A2995"/>
    <w:rsid w:val="003A36B5"/>
    <w:rsid w:val="003A7679"/>
    <w:rsid w:val="003B1BFE"/>
    <w:rsid w:val="003B1FA3"/>
    <w:rsid w:val="003B7D35"/>
    <w:rsid w:val="003C1D93"/>
    <w:rsid w:val="003C4594"/>
    <w:rsid w:val="003C616F"/>
    <w:rsid w:val="003D0DF1"/>
    <w:rsid w:val="003D1509"/>
    <w:rsid w:val="003D4125"/>
    <w:rsid w:val="003D4C83"/>
    <w:rsid w:val="003E14EC"/>
    <w:rsid w:val="003E19D9"/>
    <w:rsid w:val="003E7575"/>
    <w:rsid w:val="00402914"/>
    <w:rsid w:val="00403251"/>
    <w:rsid w:val="004064A0"/>
    <w:rsid w:val="00407ACF"/>
    <w:rsid w:val="004117A9"/>
    <w:rsid w:val="00413C4C"/>
    <w:rsid w:val="00415392"/>
    <w:rsid w:val="00417208"/>
    <w:rsid w:val="004264F3"/>
    <w:rsid w:val="00430BFE"/>
    <w:rsid w:val="00433C89"/>
    <w:rsid w:val="00436C8B"/>
    <w:rsid w:val="004377FB"/>
    <w:rsid w:val="00437BC4"/>
    <w:rsid w:val="004406F2"/>
    <w:rsid w:val="00444B56"/>
    <w:rsid w:val="0045021E"/>
    <w:rsid w:val="004510B7"/>
    <w:rsid w:val="00452380"/>
    <w:rsid w:val="004542F5"/>
    <w:rsid w:val="00454FAE"/>
    <w:rsid w:val="004550BD"/>
    <w:rsid w:val="00455C2D"/>
    <w:rsid w:val="004611D8"/>
    <w:rsid w:val="00465B55"/>
    <w:rsid w:val="004674BF"/>
    <w:rsid w:val="00472E99"/>
    <w:rsid w:val="004818EE"/>
    <w:rsid w:val="00482F8D"/>
    <w:rsid w:val="004852B0"/>
    <w:rsid w:val="00485CC4"/>
    <w:rsid w:val="0048634C"/>
    <w:rsid w:val="00486616"/>
    <w:rsid w:val="00494923"/>
    <w:rsid w:val="004A50B1"/>
    <w:rsid w:val="004A524A"/>
    <w:rsid w:val="004A5480"/>
    <w:rsid w:val="004B22A5"/>
    <w:rsid w:val="004B4F28"/>
    <w:rsid w:val="004C0538"/>
    <w:rsid w:val="004C32EF"/>
    <w:rsid w:val="004C4B47"/>
    <w:rsid w:val="004C4D9D"/>
    <w:rsid w:val="004C5EE1"/>
    <w:rsid w:val="004C75E5"/>
    <w:rsid w:val="004D5EF8"/>
    <w:rsid w:val="004D7E13"/>
    <w:rsid w:val="004E0799"/>
    <w:rsid w:val="004E0AF2"/>
    <w:rsid w:val="004E25EA"/>
    <w:rsid w:val="004E378A"/>
    <w:rsid w:val="004E5648"/>
    <w:rsid w:val="004F6756"/>
    <w:rsid w:val="005055BA"/>
    <w:rsid w:val="00507E6F"/>
    <w:rsid w:val="00510474"/>
    <w:rsid w:val="00514078"/>
    <w:rsid w:val="005174FC"/>
    <w:rsid w:val="005219D5"/>
    <w:rsid w:val="00521C1B"/>
    <w:rsid w:val="0052304F"/>
    <w:rsid w:val="00524E87"/>
    <w:rsid w:val="00525AAC"/>
    <w:rsid w:val="00525D2C"/>
    <w:rsid w:val="005261B2"/>
    <w:rsid w:val="00536C36"/>
    <w:rsid w:val="0054617F"/>
    <w:rsid w:val="005519CD"/>
    <w:rsid w:val="00551E61"/>
    <w:rsid w:val="00552A0D"/>
    <w:rsid w:val="005556BC"/>
    <w:rsid w:val="00555B3C"/>
    <w:rsid w:val="00556B58"/>
    <w:rsid w:val="0055731C"/>
    <w:rsid w:val="00557E1D"/>
    <w:rsid w:val="00560B68"/>
    <w:rsid w:val="00560BF8"/>
    <w:rsid w:val="00560E7A"/>
    <w:rsid w:val="00561538"/>
    <w:rsid w:val="0056219B"/>
    <w:rsid w:val="00562303"/>
    <w:rsid w:val="0057732C"/>
    <w:rsid w:val="00577C19"/>
    <w:rsid w:val="0058124A"/>
    <w:rsid w:val="00582B81"/>
    <w:rsid w:val="00582D2B"/>
    <w:rsid w:val="00591173"/>
    <w:rsid w:val="00591FDA"/>
    <w:rsid w:val="0059290E"/>
    <w:rsid w:val="00594037"/>
    <w:rsid w:val="005954E6"/>
    <w:rsid w:val="005A6211"/>
    <w:rsid w:val="005B27AA"/>
    <w:rsid w:val="005B6478"/>
    <w:rsid w:val="005C0C8A"/>
    <w:rsid w:val="005C5810"/>
    <w:rsid w:val="005C71F3"/>
    <w:rsid w:val="005C7BF6"/>
    <w:rsid w:val="005D10E7"/>
    <w:rsid w:val="005D12FB"/>
    <w:rsid w:val="005D2548"/>
    <w:rsid w:val="005D4BE4"/>
    <w:rsid w:val="005D5F62"/>
    <w:rsid w:val="005D7416"/>
    <w:rsid w:val="005E0331"/>
    <w:rsid w:val="005E1BB6"/>
    <w:rsid w:val="005E29DA"/>
    <w:rsid w:val="005E53AD"/>
    <w:rsid w:val="005E7874"/>
    <w:rsid w:val="005F15D5"/>
    <w:rsid w:val="005F1F5D"/>
    <w:rsid w:val="005F4E44"/>
    <w:rsid w:val="005F4F76"/>
    <w:rsid w:val="005F7815"/>
    <w:rsid w:val="00601994"/>
    <w:rsid w:val="00604192"/>
    <w:rsid w:val="0060466D"/>
    <w:rsid w:val="00604BDE"/>
    <w:rsid w:val="006055AA"/>
    <w:rsid w:val="00605B1E"/>
    <w:rsid w:val="00606D55"/>
    <w:rsid w:val="00610BCF"/>
    <w:rsid w:val="00610F93"/>
    <w:rsid w:val="00613F99"/>
    <w:rsid w:val="00614FBE"/>
    <w:rsid w:val="0061761B"/>
    <w:rsid w:val="00624785"/>
    <w:rsid w:val="0062541E"/>
    <w:rsid w:val="0062568F"/>
    <w:rsid w:val="00630901"/>
    <w:rsid w:val="00630C33"/>
    <w:rsid w:val="00631D5C"/>
    <w:rsid w:val="00637F62"/>
    <w:rsid w:val="0064576B"/>
    <w:rsid w:val="0065116B"/>
    <w:rsid w:val="00651AD7"/>
    <w:rsid w:val="006535C5"/>
    <w:rsid w:val="006538A6"/>
    <w:rsid w:val="006550A7"/>
    <w:rsid w:val="00661969"/>
    <w:rsid w:val="006725EA"/>
    <w:rsid w:val="00672A58"/>
    <w:rsid w:val="00673233"/>
    <w:rsid w:val="006779BA"/>
    <w:rsid w:val="006840F5"/>
    <w:rsid w:val="00686A87"/>
    <w:rsid w:val="00687418"/>
    <w:rsid w:val="006939CD"/>
    <w:rsid w:val="006967F8"/>
    <w:rsid w:val="006A1727"/>
    <w:rsid w:val="006A365B"/>
    <w:rsid w:val="006A4ECC"/>
    <w:rsid w:val="006A7B43"/>
    <w:rsid w:val="006B010C"/>
    <w:rsid w:val="006B7727"/>
    <w:rsid w:val="006C3ED7"/>
    <w:rsid w:val="006C6BD1"/>
    <w:rsid w:val="006C7D6F"/>
    <w:rsid w:val="006D35A3"/>
    <w:rsid w:val="006D4541"/>
    <w:rsid w:val="006E1F93"/>
    <w:rsid w:val="006E3107"/>
    <w:rsid w:val="006E471E"/>
    <w:rsid w:val="006E76D6"/>
    <w:rsid w:val="006F1E49"/>
    <w:rsid w:val="006F2EA0"/>
    <w:rsid w:val="006F398D"/>
    <w:rsid w:val="006F66BE"/>
    <w:rsid w:val="00700691"/>
    <w:rsid w:val="0071019F"/>
    <w:rsid w:val="0071614B"/>
    <w:rsid w:val="00717BC7"/>
    <w:rsid w:val="00721516"/>
    <w:rsid w:val="00722F9A"/>
    <w:rsid w:val="0072625F"/>
    <w:rsid w:val="007272B4"/>
    <w:rsid w:val="00730CDE"/>
    <w:rsid w:val="00733F2E"/>
    <w:rsid w:val="007365B9"/>
    <w:rsid w:val="00742709"/>
    <w:rsid w:val="00745000"/>
    <w:rsid w:val="00752A90"/>
    <w:rsid w:val="00754F80"/>
    <w:rsid w:val="00761CB5"/>
    <w:rsid w:val="007645D5"/>
    <w:rsid w:val="007667A1"/>
    <w:rsid w:val="00772EAB"/>
    <w:rsid w:val="007735B9"/>
    <w:rsid w:val="0077515D"/>
    <w:rsid w:val="00775482"/>
    <w:rsid w:val="00776915"/>
    <w:rsid w:val="00780455"/>
    <w:rsid w:val="0078252D"/>
    <w:rsid w:val="0078319C"/>
    <w:rsid w:val="007831DE"/>
    <w:rsid w:val="00783DE9"/>
    <w:rsid w:val="00790700"/>
    <w:rsid w:val="00790D93"/>
    <w:rsid w:val="00793271"/>
    <w:rsid w:val="00796D60"/>
    <w:rsid w:val="007A1F37"/>
    <w:rsid w:val="007A2E79"/>
    <w:rsid w:val="007A7870"/>
    <w:rsid w:val="007B397B"/>
    <w:rsid w:val="007B59F4"/>
    <w:rsid w:val="007B7F30"/>
    <w:rsid w:val="007C532F"/>
    <w:rsid w:val="007C6D6B"/>
    <w:rsid w:val="007D23FF"/>
    <w:rsid w:val="007D3417"/>
    <w:rsid w:val="007D3B9A"/>
    <w:rsid w:val="007F0C3E"/>
    <w:rsid w:val="007F1B62"/>
    <w:rsid w:val="007F2269"/>
    <w:rsid w:val="007F5DC3"/>
    <w:rsid w:val="007F67EE"/>
    <w:rsid w:val="008076D9"/>
    <w:rsid w:val="008107EA"/>
    <w:rsid w:val="00811192"/>
    <w:rsid w:val="00812723"/>
    <w:rsid w:val="0082151A"/>
    <w:rsid w:val="00826A2F"/>
    <w:rsid w:val="00832720"/>
    <w:rsid w:val="00832892"/>
    <w:rsid w:val="00833F06"/>
    <w:rsid w:val="00837F65"/>
    <w:rsid w:val="00840FA1"/>
    <w:rsid w:val="00842501"/>
    <w:rsid w:val="00843EF3"/>
    <w:rsid w:val="00844A54"/>
    <w:rsid w:val="008472D1"/>
    <w:rsid w:val="00847869"/>
    <w:rsid w:val="008505C4"/>
    <w:rsid w:val="00851C6E"/>
    <w:rsid w:val="00851CD4"/>
    <w:rsid w:val="00864084"/>
    <w:rsid w:val="00866D5A"/>
    <w:rsid w:val="00867282"/>
    <w:rsid w:val="008678B1"/>
    <w:rsid w:val="00872350"/>
    <w:rsid w:val="008730AB"/>
    <w:rsid w:val="00880D90"/>
    <w:rsid w:val="00884501"/>
    <w:rsid w:val="00886CB0"/>
    <w:rsid w:val="008918F5"/>
    <w:rsid w:val="00892A96"/>
    <w:rsid w:val="00895B40"/>
    <w:rsid w:val="008965C4"/>
    <w:rsid w:val="008977C2"/>
    <w:rsid w:val="008A0D74"/>
    <w:rsid w:val="008A206A"/>
    <w:rsid w:val="008A25E7"/>
    <w:rsid w:val="008A5384"/>
    <w:rsid w:val="008B410B"/>
    <w:rsid w:val="008B7895"/>
    <w:rsid w:val="008C174C"/>
    <w:rsid w:val="008C3AB6"/>
    <w:rsid w:val="008C6F1C"/>
    <w:rsid w:val="008D0A99"/>
    <w:rsid w:val="008D26D4"/>
    <w:rsid w:val="008D2BE5"/>
    <w:rsid w:val="008D5A03"/>
    <w:rsid w:val="008D7807"/>
    <w:rsid w:val="008D7BA4"/>
    <w:rsid w:val="008E0A54"/>
    <w:rsid w:val="008E28C4"/>
    <w:rsid w:val="008E2D85"/>
    <w:rsid w:val="008F29F9"/>
    <w:rsid w:val="008F3D73"/>
    <w:rsid w:val="008F70E4"/>
    <w:rsid w:val="009079E5"/>
    <w:rsid w:val="00910A43"/>
    <w:rsid w:val="00911C2A"/>
    <w:rsid w:val="0091497F"/>
    <w:rsid w:val="00914B1C"/>
    <w:rsid w:val="00916B97"/>
    <w:rsid w:val="00922BFA"/>
    <w:rsid w:val="009246DB"/>
    <w:rsid w:val="00926F18"/>
    <w:rsid w:val="00937106"/>
    <w:rsid w:val="00943E71"/>
    <w:rsid w:val="009453F4"/>
    <w:rsid w:val="00951855"/>
    <w:rsid w:val="00957ADC"/>
    <w:rsid w:val="00962422"/>
    <w:rsid w:val="009656C5"/>
    <w:rsid w:val="00966767"/>
    <w:rsid w:val="00966E59"/>
    <w:rsid w:val="00971891"/>
    <w:rsid w:val="00975B79"/>
    <w:rsid w:val="00980728"/>
    <w:rsid w:val="00981A54"/>
    <w:rsid w:val="00982959"/>
    <w:rsid w:val="00983DC5"/>
    <w:rsid w:val="00985BC3"/>
    <w:rsid w:val="009862F0"/>
    <w:rsid w:val="00987EE1"/>
    <w:rsid w:val="00990BAF"/>
    <w:rsid w:val="00992971"/>
    <w:rsid w:val="00994408"/>
    <w:rsid w:val="009949B4"/>
    <w:rsid w:val="009A41AC"/>
    <w:rsid w:val="009A46EB"/>
    <w:rsid w:val="009B4E60"/>
    <w:rsid w:val="009C0287"/>
    <w:rsid w:val="009C08EC"/>
    <w:rsid w:val="009C7B21"/>
    <w:rsid w:val="009D55A2"/>
    <w:rsid w:val="009D55EE"/>
    <w:rsid w:val="009D6408"/>
    <w:rsid w:val="009D7272"/>
    <w:rsid w:val="009D73A1"/>
    <w:rsid w:val="009E0E01"/>
    <w:rsid w:val="009F00B9"/>
    <w:rsid w:val="00A005AB"/>
    <w:rsid w:val="00A01DA7"/>
    <w:rsid w:val="00A02BD1"/>
    <w:rsid w:val="00A0307A"/>
    <w:rsid w:val="00A05DEE"/>
    <w:rsid w:val="00A0608C"/>
    <w:rsid w:val="00A10C8B"/>
    <w:rsid w:val="00A1326B"/>
    <w:rsid w:val="00A14981"/>
    <w:rsid w:val="00A2095A"/>
    <w:rsid w:val="00A20F1C"/>
    <w:rsid w:val="00A239FA"/>
    <w:rsid w:val="00A2432D"/>
    <w:rsid w:val="00A32C01"/>
    <w:rsid w:val="00A33C3A"/>
    <w:rsid w:val="00A34218"/>
    <w:rsid w:val="00A34710"/>
    <w:rsid w:val="00A34EC1"/>
    <w:rsid w:val="00A34FFB"/>
    <w:rsid w:val="00A43C05"/>
    <w:rsid w:val="00A44944"/>
    <w:rsid w:val="00A45CF0"/>
    <w:rsid w:val="00A520A5"/>
    <w:rsid w:val="00A53241"/>
    <w:rsid w:val="00A54AF6"/>
    <w:rsid w:val="00A57063"/>
    <w:rsid w:val="00A60803"/>
    <w:rsid w:val="00A60FCB"/>
    <w:rsid w:val="00A61323"/>
    <w:rsid w:val="00A66C32"/>
    <w:rsid w:val="00A77AD6"/>
    <w:rsid w:val="00A836FD"/>
    <w:rsid w:val="00A877B7"/>
    <w:rsid w:val="00A879A7"/>
    <w:rsid w:val="00A87F45"/>
    <w:rsid w:val="00A910FB"/>
    <w:rsid w:val="00A95346"/>
    <w:rsid w:val="00AA1A4D"/>
    <w:rsid w:val="00AA4B74"/>
    <w:rsid w:val="00AA4B89"/>
    <w:rsid w:val="00AA6E80"/>
    <w:rsid w:val="00AB0286"/>
    <w:rsid w:val="00AB29DB"/>
    <w:rsid w:val="00AB2BFC"/>
    <w:rsid w:val="00AC0A1A"/>
    <w:rsid w:val="00AC1765"/>
    <w:rsid w:val="00AD6422"/>
    <w:rsid w:val="00AD7FF6"/>
    <w:rsid w:val="00AE1A68"/>
    <w:rsid w:val="00AE34E8"/>
    <w:rsid w:val="00AE7338"/>
    <w:rsid w:val="00AF3093"/>
    <w:rsid w:val="00AF451F"/>
    <w:rsid w:val="00AF68BE"/>
    <w:rsid w:val="00B01AF7"/>
    <w:rsid w:val="00B039BF"/>
    <w:rsid w:val="00B039DC"/>
    <w:rsid w:val="00B05191"/>
    <w:rsid w:val="00B22500"/>
    <w:rsid w:val="00B25E95"/>
    <w:rsid w:val="00B2700A"/>
    <w:rsid w:val="00B273EB"/>
    <w:rsid w:val="00B3604D"/>
    <w:rsid w:val="00B3632F"/>
    <w:rsid w:val="00B37F10"/>
    <w:rsid w:val="00B40401"/>
    <w:rsid w:val="00B430AE"/>
    <w:rsid w:val="00B45179"/>
    <w:rsid w:val="00B46A06"/>
    <w:rsid w:val="00B51CA9"/>
    <w:rsid w:val="00B52284"/>
    <w:rsid w:val="00B53EBA"/>
    <w:rsid w:val="00B56CB4"/>
    <w:rsid w:val="00B575F3"/>
    <w:rsid w:val="00B5785B"/>
    <w:rsid w:val="00B647A9"/>
    <w:rsid w:val="00B65B23"/>
    <w:rsid w:val="00B7325E"/>
    <w:rsid w:val="00B73E87"/>
    <w:rsid w:val="00B768EE"/>
    <w:rsid w:val="00B824DE"/>
    <w:rsid w:val="00B90900"/>
    <w:rsid w:val="00B9155A"/>
    <w:rsid w:val="00B92F41"/>
    <w:rsid w:val="00B9307E"/>
    <w:rsid w:val="00B946C4"/>
    <w:rsid w:val="00BA0731"/>
    <w:rsid w:val="00BA3C07"/>
    <w:rsid w:val="00BA4178"/>
    <w:rsid w:val="00BA42BE"/>
    <w:rsid w:val="00BA4556"/>
    <w:rsid w:val="00BA5C06"/>
    <w:rsid w:val="00BB7517"/>
    <w:rsid w:val="00BC7781"/>
    <w:rsid w:val="00BD06D6"/>
    <w:rsid w:val="00BD08EF"/>
    <w:rsid w:val="00BD4A56"/>
    <w:rsid w:val="00BE057D"/>
    <w:rsid w:val="00BE5C0E"/>
    <w:rsid w:val="00BF21A9"/>
    <w:rsid w:val="00BF50DC"/>
    <w:rsid w:val="00C00A0F"/>
    <w:rsid w:val="00C00E4E"/>
    <w:rsid w:val="00C0232B"/>
    <w:rsid w:val="00C02EF1"/>
    <w:rsid w:val="00C033A9"/>
    <w:rsid w:val="00C0739B"/>
    <w:rsid w:val="00C10D47"/>
    <w:rsid w:val="00C1661D"/>
    <w:rsid w:val="00C2034B"/>
    <w:rsid w:val="00C2122C"/>
    <w:rsid w:val="00C23D24"/>
    <w:rsid w:val="00C2547F"/>
    <w:rsid w:val="00C30DD0"/>
    <w:rsid w:val="00C3165A"/>
    <w:rsid w:val="00C40606"/>
    <w:rsid w:val="00C431FB"/>
    <w:rsid w:val="00C5202F"/>
    <w:rsid w:val="00C53BC8"/>
    <w:rsid w:val="00C6008A"/>
    <w:rsid w:val="00C60D60"/>
    <w:rsid w:val="00C65CA0"/>
    <w:rsid w:val="00C70258"/>
    <w:rsid w:val="00C72700"/>
    <w:rsid w:val="00C7525C"/>
    <w:rsid w:val="00C75C29"/>
    <w:rsid w:val="00C77C8F"/>
    <w:rsid w:val="00C825A2"/>
    <w:rsid w:val="00C8609E"/>
    <w:rsid w:val="00C86180"/>
    <w:rsid w:val="00C86E11"/>
    <w:rsid w:val="00C87E92"/>
    <w:rsid w:val="00C912DA"/>
    <w:rsid w:val="00C925E2"/>
    <w:rsid w:val="00C935AC"/>
    <w:rsid w:val="00C9378D"/>
    <w:rsid w:val="00C967D6"/>
    <w:rsid w:val="00C96AC4"/>
    <w:rsid w:val="00C96F0A"/>
    <w:rsid w:val="00CA430F"/>
    <w:rsid w:val="00CA522B"/>
    <w:rsid w:val="00CA7576"/>
    <w:rsid w:val="00CA77A5"/>
    <w:rsid w:val="00CB1CFA"/>
    <w:rsid w:val="00CB2663"/>
    <w:rsid w:val="00CB4A0F"/>
    <w:rsid w:val="00CB5488"/>
    <w:rsid w:val="00CB758D"/>
    <w:rsid w:val="00CB7D63"/>
    <w:rsid w:val="00CC1F32"/>
    <w:rsid w:val="00CC4E1B"/>
    <w:rsid w:val="00CC5A62"/>
    <w:rsid w:val="00CD3358"/>
    <w:rsid w:val="00CD35A1"/>
    <w:rsid w:val="00CD4070"/>
    <w:rsid w:val="00CE230D"/>
    <w:rsid w:val="00CF381D"/>
    <w:rsid w:val="00CF3D09"/>
    <w:rsid w:val="00CF5E0F"/>
    <w:rsid w:val="00D0235C"/>
    <w:rsid w:val="00D02F9C"/>
    <w:rsid w:val="00D061F9"/>
    <w:rsid w:val="00D11C20"/>
    <w:rsid w:val="00D1286F"/>
    <w:rsid w:val="00D16A64"/>
    <w:rsid w:val="00D23D9D"/>
    <w:rsid w:val="00D2543B"/>
    <w:rsid w:val="00D2681D"/>
    <w:rsid w:val="00D31C81"/>
    <w:rsid w:val="00D33C2D"/>
    <w:rsid w:val="00D404F6"/>
    <w:rsid w:val="00D42705"/>
    <w:rsid w:val="00D42BCF"/>
    <w:rsid w:val="00D43F32"/>
    <w:rsid w:val="00D443E1"/>
    <w:rsid w:val="00D45DAA"/>
    <w:rsid w:val="00D461E3"/>
    <w:rsid w:val="00D46465"/>
    <w:rsid w:val="00D466B7"/>
    <w:rsid w:val="00D54168"/>
    <w:rsid w:val="00D54EFA"/>
    <w:rsid w:val="00D6002A"/>
    <w:rsid w:val="00D6023E"/>
    <w:rsid w:val="00D60B8B"/>
    <w:rsid w:val="00D700FB"/>
    <w:rsid w:val="00D73DBD"/>
    <w:rsid w:val="00D77FB7"/>
    <w:rsid w:val="00D81991"/>
    <w:rsid w:val="00D823E5"/>
    <w:rsid w:val="00D85904"/>
    <w:rsid w:val="00D866BC"/>
    <w:rsid w:val="00D90FC2"/>
    <w:rsid w:val="00D927FE"/>
    <w:rsid w:val="00D92C86"/>
    <w:rsid w:val="00D936D8"/>
    <w:rsid w:val="00DA29D1"/>
    <w:rsid w:val="00DB154C"/>
    <w:rsid w:val="00DB16CA"/>
    <w:rsid w:val="00DB34B1"/>
    <w:rsid w:val="00DB73AD"/>
    <w:rsid w:val="00DC56EE"/>
    <w:rsid w:val="00DC7079"/>
    <w:rsid w:val="00DC7D97"/>
    <w:rsid w:val="00DC7DBA"/>
    <w:rsid w:val="00DD52DC"/>
    <w:rsid w:val="00DE322B"/>
    <w:rsid w:val="00DE488D"/>
    <w:rsid w:val="00DE66DB"/>
    <w:rsid w:val="00DF3639"/>
    <w:rsid w:val="00E001E9"/>
    <w:rsid w:val="00E00997"/>
    <w:rsid w:val="00E00CEC"/>
    <w:rsid w:val="00E04B81"/>
    <w:rsid w:val="00E04C8D"/>
    <w:rsid w:val="00E05083"/>
    <w:rsid w:val="00E050EE"/>
    <w:rsid w:val="00E06D79"/>
    <w:rsid w:val="00E06F6F"/>
    <w:rsid w:val="00E0799B"/>
    <w:rsid w:val="00E110BF"/>
    <w:rsid w:val="00E11991"/>
    <w:rsid w:val="00E14AB2"/>
    <w:rsid w:val="00E161D2"/>
    <w:rsid w:val="00E2555B"/>
    <w:rsid w:val="00E25F46"/>
    <w:rsid w:val="00E3119C"/>
    <w:rsid w:val="00E32B30"/>
    <w:rsid w:val="00E51BA2"/>
    <w:rsid w:val="00E53512"/>
    <w:rsid w:val="00E5425C"/>
    <w:rsid w:val="00E546D4"/>
    <w:rsid w:val="00E5554D"/>
    <w:rsid w:val="00E60B23"/>
    <w:rsid w:val="00E6359A"/>
    <w:rsid w:val="00E641DF"/>
    <w:rsid w:val="00E6543D"/>
    <w:rsid w:val="00E679CD"/>
    <w:rsid w:val="00E730C9"/>
    <w:rsid w:val="00E75769"/>
    <w:rsid w:val="00E82C5C"/>
    <w:rsid w:val="00E82CB0"/>
    <w:rsid w:val="00E8300D"/>
    <w:rsid w:val="00E84F3C"/>
    <w:rsid w:val="00E85C56"/>
    <w:rsid w:val="00E90C12"/>
    <w:rsid w:val="00E932AA"/>
    <w:rsid w:val="00EA37CE"/>
    <w:rsid w:val="00EA5F4C"/>
    <w:rsid w:val="00EB293E"/>
    <w:rsid w:val="00EB53D8"/>
    <w:rsid w:val="00EC1C8F"/>
    <w:rsid w:val="00EC28F7"/>
    <w:rsid w:val="00EC687F"/>
    <w:rsid w:val="00ED2932"/>
    <w:rsid w:val="00ED2AE3"/>
    <w:rsid w:val="00ED4F6E"/>
    <w:rsid w:val="00ED5256"/>
    <w:rsid w:val="00ED6788"/>
    <w:rsid w:val="00EE322A"/>
    <w:rsid w:val="00EE7453"/>
    <w:rsid w:val="00EF62B8"/>
    <w:rsid w:val="00F01AEB"/>
    <w:rsid w:val="00F078CD"/>
    <w:rsid w:val="00F11021"/>
    <w:rsid w:val="00F115D8"/>
    <w:rsid w:val="00F13BEC"/>
    <w:rsid w:val="00F1590B"/>
    <w:rsid w:val="00F24109"/>
    <w:rsid w:val="00F24A99"/>
    <w:rsid w:val="00F30F8B"/>
    <w:rsid w:val="00F3119E"/>
    <w:rsid w:val="00F34DF3"/>
    <w:rsid w:val="00F36E76"/>
    <w:rsid w:val="00F453A1"/>
    <w:rsid w:val="00F45A93"/>
    <w:rsid w:val="00F4761E"/>
    <w:rsid w:val="00F502DB"/>
    <w:rsid w:val="00F50683"/>
    <w:rsid w:val="00F507CD"/>
    <w:rsid w:val="00F50AEF"/>
    <w:rsid w:val="00F52DA2"/>
    <w:rsid w:val="00F55518"/>
    <w:rsid w:val="00F56E9F"/>
    <w:rsid w:val="00F65FC2"/>
    <w:rsid w:val="00F66729"/>
    <w:rsid w:val="00F74B44"/>
    <w:rsid w:val="00F75180"/>
    <w:rsid w:val="00F76740"/>
    <w:rsid w:val="00F8381D"/>
    <w:rsid w:val="00F8704D"/>
    <w:rsid w:val="00F9182F"/>
    <w:rsid w:val="00F97B73"/>
    <w:rsid w:val="00FA047F"/>
    <w:rsid w:val="00FA2BAE"/>
    <w:rsid w:val="00FA59B7"/>
    <w:rsid w:val="00FA7ECE"/>
    <w:rsid w:val="00FB08E1"/>
    <w:rsid w:val="00FB6887"/>
    <w:rsid w:val="00FC09E4"/>
    <w:rsid w:val="00FC0EE5"/>
    <w:rsid w:val="00FC3879"/>
    <w:rsid w:val="00FD0ECC"/>
    <w:rsid w:val="00FD3555"/>
    <w:rsid w:val="00FD3DC4"/>
    <w:rsid w:val="00FD4100"/>
    <w:rsid w:val="00FD4639"/>
    <w:rsid w:val="00FE1208"/>
    <w:rsid w:val="00FF0903"/>
    <w:rsid w:val="00FF2C86"/>
    <w:rsid w:val="00FF3069"/>
    <w:rsid w:val="00FF4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632E8B88-FBD1-44D5-B01D-3F293E48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FA3"/>
    <w:pPr>
      <w:jc w:val="both"/>
    </w:pPr>
    <w:rPr>
      <w:kern w:val="22"/>
      <w:sz w:val="22"/>
      <w:szCs w:val="24"/>
    </w:rPr>
  </w:style>
  <w:style w:type="paragraph" w:styleId="Heading1">
    <w:name w:val="heading 1"/>
    <w:basedOn w:val="Normal"/>
    <w:next w:val="Normal"/>
    <w:qFormat/>
    <w:rsid w:val="003B1FA3"/>
    <w:pPr>
      <w:keepNext/>
      <w:numPr>
        <w:numId w:val="1"/>
      </w:numPr>
      <w:spacing w:before="120" w:after="120"/>
      <w:outlineLvl w:val="0"/>
    </w:pPr>
    <w:rPr>
      <w:rFonts w:ascii="Arial" w:hAnsi="Arial"/>
      <w:b/>
      <w:bCs/>
      <w:color w:val="000080"/>
      <w:sz w:val="28"/>
      <w:szCs w:val="32"/>
    </w:rPr>
  </w:style>
  <w:style w:type="paragraph" w:styleId="Heading2">
    <w:name w:val="heading 2"/>
    <w:basedOn w:val="Normal"/>
    <w:next w:val="Normal"/>
    <w:qFormat/>
    <w:rsid w:val="003B1FA3"/>
    <w:pPr>
      <w:keepNext/>
      <w:numPr>
        <w:ilvl w:val="1"/>
        <w:numId w:val="1"/>
      </w:numPr>
      <w:spacing w:before="240" w:after="60"/>
      <w:outlineLvl w:val="1"/>
    </w:pPr>
    <w:rPr>
      <w:rFonts w:ascii="Arial" w:hAnsi="Arial"/>
      <w:b/>
      <w:bCs/>
      <w:iCs/>
      <w:color w:val="000080"/>
      <w:sz w:val="24"/>
    </w:rPr>
  </w:style>
  <w:style w:type="paragraph" w:styleId="Heading3">
    <w:name w:val="heading 3"/>
    <w:basedOn w:val="Normal"/>
    <w:next w:val="Normal"/>
    <w:qFormat/>
    <w:rsid w:val="003B1FA3"/>
    <w:pPr>
      <w:keepNext/>
      <w:numPr>
        <w:ilvl w:val="2"/>
        <w:numId w:val="1"/>
      </w:numPr>
      <w:spacing w:before="180" w:after="60"/>
      <w:outlineLvl w:val="2"/>
    </w:pPr>
    <w:rPr>
      <w:rFonts w:ascii="Arial" w:hAnsi="Arial" w:cs="Arial"/>
      <w:b/>
      <w:bCs/>
      <w:i/>
      <w:color w:val="000080"/>
    </w:rPr>
  </w:style>
  <w:style w:type="paragraph" w:styleId="Heading4">
    <w:name w:val="heading 4"/>
    <w:basedOn w:val="Normal"/>
    <w:next w:val="Normal"/>
    <w:qFormat/>
    <w:rsid w:val="003B1FA3"/>
    <w:pPr>
      <w:keepNext/>
      <w:numPr>
        <w:ilvl w:val="3"/>
        <w:numId w:val="1"/>
      </w:numPr>
      <w:spacing w:before="120" w:after="60"/>
      <w:outlineLvl w:val="3"/>
    </w:pPr>
    <w:rPr>
      <w:b/>
      <w:bCs/>
      <w:kern w:val="0"/>
      <w:szCs w:val="28"/>
    </w:rPr>
  </w:style>
  <w:style w:type="paragraph" w:styleId="Heading5">
    <w:name w:val="heading 5"/>
    <w:basedOn w:val="Normal"/>
    <w:next w:val="Normal"/>
    <w:qFormat/>
    <w:rsid w:val="003B1FA3"/>
    <w:pPr>
      <w:numPr>
        <w:ilvl w:val="4"/>
        <w:numId w:val="1"/>
      </w:numPr>
      <w:spacing w:before="240" w:after="60"/>
      <w:outlineLvl w:val="4"/>
    </w:pPr>
    <w:rPr>
      <w:b/>
      <w:bCs/>
      <w:i/>
      <w:iCs/>
      <w:sz w:val="26"/>
      <w:szCs w:val="26"/>
    </w:rPr>
  </w:style>
  <w:style w:type="paragraph" w:styleId="Heading6">
    <w:name w:val="heading 6"/>
    <w:basedOn w:val="Normal"/>
    <w:next w:val="Normal"/>
    <w:qFormat/>
    <w:rsid w:val="003B1FA3"/>
    <w:pPr>
      <w:numPr>
        <w:ilvl w:val="5"/>
        <w:numId w:val="1"/>
      </w:numPr>
      <w:spacing w:before="240" w:after="60"/>
      <w:outlineLvl w:val="5"/>
    </w:pPr>
    <w:rPr>
      <w:b/>
      <w:bCs/>
      <w:szCs w:val="22"/>
    </w:rPr>
  </w:style>
  <w:style w:type="paragraph" w:styleId="Heading7">
    <w:name w:val="heading 7"/>
    <w:basedOn w:val="Normal"/>
    <w:next w:val="Normal"/>
    <w:qFormat/>
    <w:rsid w:val="003B1FA3"/>
    <w:pPr>
      <w:numPr>
        <w:ilvl w:val="6"/>
        <w:numId w:val="1"/>
      </w:numPr>
      <w:spacing w:before="240" w:after="60"/>
      <w:outlineLvl w:val="6"/>
    </w:pPr>
  </w:style>
  <w:style w:type="paragraph" w:styleId="Heading8">
    <w:name w:val="heading 8"/>
    <w:basedOn w:val="Normal"/>
    <w:next w:val="Normal"/>
    <w:qFormat/>
    <w:rsid w:val="003B1FA3"/>
    <w:pPr>
      <w:numPr>
        <w:ilvl w:val="7"/>
        <w:numId w:val="1"/>
      </w:numPr>
      <w:spacing w:before="240" w:after="60"/>
      <w:outlineLvl w:val="7"/>
    </w:pPr>
    <w:rPr>
      <w:i/>
      <w:iCs/>
    </w:rPr>
  </w:style>
  <w:style w:type="paragraph" w:styleId="Heading9">
    <w:name w:val="heading 9"/>
    <w:basedOn w:val="Normal"/>
    <w:next w:val="Normal"/>
    <w:qFormat/>
    <w:rsid w:val="003B1FA3"/>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pointSpacer">
    <w:name w:val="6pointSpacer"/>
    <w:basedOn w:val="Normal"/>
    <w:rsid w:val="00D45DAA"/>
    <w:rPr>
      <w:sz w:val="12"/>
      <w:szCs w:val="12"/>
    </w:rPr>
  </w:style>
  <w:style w:type="paragraph" w:styleId="BodyText">
    <w:name w:val="Body Text"/>
    <w:basedOn w:val="Normal"/>
    <w:rsid w:val="003B1FA3"/>
    <w:pPr>
      <w:spacing w:after="120"/>
    </w:pPr>
  </w:style>
  <w:style w:type="paragraph" w:styleId="Caption">
    <w:name w:val="caption"/>
    <w:basedOn w:val="Normal"/>
    <w:next w:val="Normal"/>
    <w:qFormat/>
    <w:rsid w:val="003B1FA3"/>
    <w:pPr>
      <w:keepNext/>
      <w:spacing w:before="120" w:after="120"/>
    </w:pPr>
    <w:rPr>
      <w:b/>
      <w:bCs/>
      <w:szCs w:val="20"/>
    </w:rPr>
  </w:style>
  <w:style w:type="paragraph" w:customStyle="1" w:styleId="CenteredCaption">
    <w:name w:val="CenteredCaption"/>
    <w:basedOn w:val="Caption"/>
    <w:rsid w:val="003B1FA3"/>
    <w:pPr>
      <w:jc w:val="center"/>
    </w:pPr>
  </w:style>
  <w:style w:type="character" w:customStyle="1" w:styleId="Emphasize">
    <w:name w:val="Emphasize"/>
    <w:rsid w:val="003B1FA3"/>
    <w:rPr>
      <w:b/>
      <w:color w:val="000080"/>
    </w:rPr>
  </w:style>
  <w:style w:type="paragraph" w:styleId="Header">
    <w:name w:val="header"/>
    <w:basedOn w:val="Normal"/>
    <w:rsid w:val="00D45DAA"/>
    <w:pPr>
      <w:tabs>
        <w:tab w:val="center" w:pos="4320"/>
        <w:tab w:val="right" w:pos="9360"/>
      </w:tabs>
    </w:pPr>
    <w:rPr>
      <w:rFonts w:ascii="Arial" w:hAnsi="Arial"/>
      <w:sz w:val="16"/>
    </w:rPr>
  </w:style>
  <w:style w:type="character" w:customStyle="1" w:styleId="Italicize">
    <w:name w:val="Italicize"/>
    <w:rsid w:val="00D45DAA"/>
    <w:rPr>
      <w:i/>
      <w:color w:val="003399"/>
    </w:rPr>
  </w:style>
  <w:style w:type="paragraph" w:customStyle="1" w:styleId="Left1">
    <w:name w:val="Left:1"/>
    <w:basedOn w:val="Normal"/>
    <w:rsid w:val="00D45DAA"/>
    <w:pPr>
      <w:ind w:left="504"/>
    </w:pPr>
  </w:style>
  <w:style w:type="paragraph" w:customStyle="1" w:styleId="Left2">
    <w:name w:val="Left:2"/>
    <w:basedOn w:val="Normal"/>
    <w:rsid w:val="00D45DAA"/>
    <w:pPr>
      <w:ind w:left="1008"/>
    </w:pPr>
  </w:style>
  <w:style w:type="paragraph" w:customStyle="1" w:styleId="Left3">
    <w:name w:val="Left:3"/>
    <w:basedOn w:val="Normal"/>
    <w:rsid w:val="00D45DAA"/>
    <w:pPr>
      <w:ind w:left="1800"/>
    </w:pPr>
  </w:style>
  <w:style w:type="paragraph" w:customStyle="1" w:styleId="Left4">
    <w:name w:val="Left:4"/>
    <w:basedOn w:val="Normal"/>
    <w:rsid w:val="00D45DAA"/>
    <w:pPr>
      <w:ind w:left="2736"/>
    </w:pPr>
  </w:style>
  <w:style w:type="numbering" w:customStyle="1" w:styleId="ListBulleted">
    <w:name w:val="List Bulleted"/>
    <w:basedOn w:val="NoList"/>
    <w:rsid w:val="003B1FA3"/>
    <w:pPr>
      <w:numPr>
        <w:numId w:val="4"/>
      </w:numPr>
    </w:pPr>
  </w:style>
  <w:style w:type="numbering" w:customStyle="1" w:styleId="ListBulletedIndented">
    <w:name w:val="List Bulleted Indented"/>
    <w:basedOn w:val="NoList"/>
    <w:rsid w:val="00D45DAA"/>
    <w:pPr>
      <w:numPr>
        <w:numId w:val="5"/>
      </w:numPr>
    </w:pPr>
  </w:style>
  <w:style w:type="numbering" w:customStyle="1" w:styleId="ListMultiple-choiceChar">
    <w:name w:val="List Multiple-choice Char"/>
    <w:basedOn w:val="NoList"/>
    <w:rsid w:val="00D45DAA"/>
    <w:pPr>
      <w:numPr>
        <w:numId w:val="6"/>
      </w:numPr>
    </w:pPr>
  </w:style>
  <w:style w:type="numbering" w:customStyle="1" w:styleId="ListOutlineChar">
    <w:name w:val="List Outline Char"/>
    <w:rsid w:val="00D45DAA"/>
    <w:pPr>
      <w:numPr>
        <w:numId w:val="7"/>
      </w:numPr>
    </w:pPr>
  </w:style>
  <w:style w:type="numbering" w:customStyle="1" w:styleId="ListOutlineNumbered">
    <w:name w:val="List Outline Numbered"/>
    <w:basedOn w:val="NoList"/>
    <w:rsid w:val="00D45DAA"/>
    <w:pPr>
      <w:numPr>
        <w:numId w:val="8"/>
      </w:numPr>
    </w:pPr>
  </w:style>
  <w:style w:type="paragraph" w:styleId="Subtitle">
    <w:name w:val="Subtitle"/>
    <w:basedOn w:val="Normal"/>
    <w:qFormat/>
    <w:rsid w:val="003B1FA3"/>
    <w:pPr>
      <w:spacing w:before="120" w:after="120"/>
      <w:jc w:val="center"/>
      <w:outlineLvl w:val="1"/>
    </w:pPr>
    <w:rPr>
      <w:rFonts w:ascii="Arial" w:hAnsi="Arial" w:cs="Arial"/>
      <w:color w:val="000080"/>
    </w:rPr>
  </w:style>
  <w:style w:type="paragraph" w:customStyle="1" w:styleId="TableCentered">
    <w:name w:val="TableCentered"/>
    <w:basedOn w:val="Normal"/>
    <w:rsid w:val="00D45DAA"/>
    <w:pPr>
      <w:jc w:val="center"/>
    </w:pPr>
    <w:rPr>
      <w:szCs w:val="20"/>
    </w:rPr>
  </w:style>
  <w:style w:type="paragraph" w:customStyle="1" w:styleId="TableLeftText">
    <w:name w:val="TableLeftText"/>
    <w:basedOn w:val="Normal"/>
    <w:rsid w:val="00D45DAA"/>
  </w:style>
  <w:style w:type="paragraph" w:customStyle="1" w:styleId="TableRightText">
    <w:name w:val="TableRightText"/>
    <w:basedOn w:val="Normal"/>
    <w:rsid w:val="00D45DAA"/>
    <w:pPr>
      <w:jc w:val="right"/>
    </w:pPr>
  </w:style>
  <w:style w:type="paragraph" w:styleId="Title">
    <w:name w:val="Title"/>
    <w:basedOn w:val="Normal"/>
    <w:qFormat/>
    <w:rsid w:val="003B1FA3"/>
    <w:pPr>
      <w:spacing w:before="240" w:after="60"/>
      <w:jc w:val="center"/>
      <w:outlineLvl w:val="0"/>
    </w:pPr>
    <w:rPr>
      <w:rFonts w:ascii="Arial" w:hAnsi="Arial" w:cs="Arial"/>
      <w:b/>
      <w:bCs/>
      <w:smallCaps/>
      <w:color w:val="000080"/>
      <w:kern w:val="28"/>
      <w:sz w:val="28"/>
      <w:szCs w:val="32"/>
    </w:rPr>
  </w:style>
  <w:style w:type="character" w:customStyle="1" w:styleId="Answer">
    <w:name w:val="Answer"/>
    <w:rsid w:val="00D45DAA"/>
    <w:rPr>
      <w:b/>
      <w:i/>
      <w:u w:val="single"/>
      <w:bdr w:val="none" w:sz="0" w:space="0" w:color="auto"/>
      <w:shd w:val="clear" w:color="auto" w:fill="FFFF99"/>
    </w:rPr>
  </w:style>
  <w:style w:type="paragraph" w:styleId="Bibliography">
    <w:name w:val="Bibliography"/>
    <w:basedOn w:val="Normal"/>
    <w:rsid w:val="003B1FA3"/>
    <w:pPr>
      <w:spacing w:before="120" w:after="240"/>
      <w:ind w:left="720" w:hanging="720"/>
    </w:pPr>
  </w:style>
  <w:style w:type="paragraph" w:customStyle="1" w:styleId="CoverText">
    <w:name w:val="CoverText"/>
    <w:basedOn w:val="Normal"/>
    <w:rsid w:val="003B1FA3"/>
    <w:pPr>
      <w:jc w:val="center"/>
    </w:pPr>
  </w:style>
  <w:style w:type="paragraph" w:styleId="BodyText3">
    <w:name w:val="Body Text 3"/>
    <w:basedOn w:val="Normal"/>
    <w:rsid w:val="003B1FA3"/>
    <w:rPr>
      <w:sz w:val="18"/>
      <w:szCs w:val="16"/>
    </w:rPr>
  </w:style>
  <w:style w:type="paragraph" w:styleId="BodyTextFirstIndent">
    <w:name w:val="Body Text First Indent"/>
    <w:basedOn w:val="BodyText"/>
    <w:rsid w:val="003B1FA3"/>
    <w:pPr>
      <w:spacing w:line="480" w:lineRule="auto"/>
      <w:ind w:firstLine="432"/>
    </w:pPr>
  </w:style>
  <w:style w:type="paragraph" w:styleId="FootnoteText">
    <w:name w:val="footnote text"/>
    <w:basedOn w:val="Normal"/>
    <w:rsid w:val="003B1FA3"/>
    <w:rPr>
      <w:sz w:val="20"/>
      <w:szCs w:val="20"/>
    </w:rPr>
  </w:style>
  <w:style w:type="paragraph" w:customStyle="1" w:styleId="CenterTable">
    <w:name w:val="CenterTable"/>
    <w:basedOn w:val="Normal"/>
    <w:rsid w:val="003B1FA3"/>
    <w:pPr>
      <w:jc w:val="center"/>
    </w:pPr>
  </w:style>
  <w:style w:type="numbering" w:customStyle="1" w:styleId="StyleOutlinenumbered">
    <w:name w:val="Style Outline numbered"/>
    <w:basedOn w:val="NoList"/>
    <w:rsid w:val="003B1FA3"/>
    <w:pPr>
      <w:numPr>
        <w:numId w:val="11"/>
      </w:numPr>
    </w:pPr>
  </w:style>
  <w:style w:type="paragraph" w:customStyle="1" w:styleId="StyleLeft14">
    <w:name w:val="Style Left:  1.4&quot;"/>
    <w:basedOn w:val="Normal"/>
    <w:rsid w:val="003B1FA3"/>
    <w:pPr>
      <w:ind w:left="2016"/>
    </w:pPr>
    <w:rPr>
      <w:szCs w:val="22"/>
    </w:rPr>
  </w:style>
  <w:style w:type="paragraph" w:customStyle="1" w:styleId="StyleLeft105">
    <w:name w:val="Style Left:  1.05&quot;"/>
    <w:basedOn w:val="Normal"/>
    <w:rsid w:val="003B1FA3"/>
    <w:pPr>
      <w:ind w:left="1512"/>
    </w:pPr>
    <w:rPr>
      <w:szCs w:val="20"/>
    </w:rPr>
  </w:style>
  <w:style w:type="paragraph" w:customStyle="1" w:styleId="StyleLeft07">
    <w:name w:val="Style Left:  0.7&quot;"/>
    <w:basedOn w:val="Normal"/>
    <w:rsid w:val="003B1FA3"/>
    <w:pPr>
      <w:ind w:left="1008"/>
    </w:pPr>
    <w:rPr>
      <w:szCs w:val="20"/>
    </w:rPr>
  </w:style>
  <w:style w:type="paragraph" w:customStyle="1" w:styleId="StyleLeft035">
    <w:name w:val="Style Left:  0.35&quot;"/>
    <w:basedOn w:val="Normal"/>
    <w:rsid w:val="003B1FA3"/>
    <w:pPr>
      <w:ind w:left="504"/>
    </w:pPr>
    <w:rPr>
      <w:szCs w:val="20"/>
    </w:rPr>
  </w:style>
  <w:style w:type="paragraph" w:customStyle="1" w:styleId="Indentedlist">
    <w:name w:val="Indented list"/>
    <w:basedOn w:val="Normal"/>
    <w:rsid w:val="003B1FA3"/>
    <w:pPr>
      <w:numPr>
        <w:numId w:val="2"/>
      </w:numPr>
      <w:tabs>
        <w:tab w:val="clear" w:pos="1008"/>
        <w:tab w:val="num" w:pos="360"/>
      </w:tabs>
      <w:ind w:left="0" w:firstLine="0"/>
    </w:pPr>
    <w:rPr>
      <w:szCs w:val="22"/>
    </w:rPr>
  </w:style>
  <w:style w:type="paragraph" w:styleId="List">
    <w:name w:val="List"/>
    <w:basedOn w:val="Normal"/>
    <w:rsid w:val="003B1FA3"/>
    <w:pPr>
      <w:numPr>
        <w:numId w:val="3"/>
      </w:numPr>
      <w:tabs>
        <w:tab w:val="clear" w:pos="504"/>
        <w:tab w:val="num" w:pos="360"/>
      </w:tabs>
      <w:ind w:left="0" w:firstLine="0"/>
    </w:pPr>
    <w:rPr>
      <w:szCs w:val="22"/>
    </w:rPr>
  </w:style>
  <w:style w:type="numbering" w:customStyle="1" w:styleId="StyleCharOutlinenumbered">
    <w:name w:val="Style Char Outline numbered"/>
    <w:basedOn w:val="NoList"/>
    <w:rsid w:val="003B1FA3"/>
    <w:pPr>
      <w:numPr>
        <w:numId w:val="12"/>
      </w:numPr>
    </w:pPr>
  </w:style>
  <w:style w:type="paragraph" w:styleId="Footer">
    <w:name w:val="footer"/>
    <w:basedOn w:val="Normal"/>
    <w:rsid w:val="003B1FA3"/>
    <w:pPr>
      <w:tabs>
        <w:tab w:val="center" w:pos="4320"/>
        <w:tab w:val="right" w:pos="9360"/>
      </w:tabs>
    </w:pPr>
    <w:rPr>
      <w:rFonts w:ascii="Arial" w:hAnsi="Arial"/>
      <w:sz w:val="16"/>
    </w:rPr>
  </w:style>
  <w:style w:type="character" w:styleId="PageNumber">
    <w:name w:val="page number"/>
    <w:basedOn w:val="DefaultParagraphFont"/>
    <w:rsid w:val="00D45DAA"/>
  </w:style>
  <w:style w:type="table" w:styleId="TableGrid">
    <w:name w:val="Table Grid"/>
    <w:basedOn w:val="TableNormal"/>
    <w:rsid w:val="00672A5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A6279"/>
    <w:rPr>
      <w:rFonts w:ascii="Tahoma" w:hAnsi="Tahoma" w:cs="Tahoma"/>
      <w:sz w:val="16"/>
      <w:szCs w:val="16"/>
    </w:rPr>
  </w:style>
  <w:style w:type="character" w:customStyle="1" w:styleId="BalloonTextChar">
    <w:name w:val="Balloon Text Char"/>
    <w:link w:val="BalloonText"/>
    <w:rsid w:val="001A6279"/>
    <w:rPr>
      <w:rFonts w:ascii="Tahoma" w:hAnsi="Tahoma" w:cs="Tahoma"/>
      <w:kern w:val="22"/>
      <w:sz w:val="16"/>
      <w:szCs w:val="16"/>
    </w:rPr>
  </w:style>
  <w:style w:type="paragraph" w:customStyle="1" w:styleId="GCaptionBoldCentered">
    <w:name w:val="GCaptionBoldCentered"/>
    <w:basedOn w:val="Normal"/>
    <w:rsid w:val="00D45DAA"/>
    <w:pPr>
      <w:keepNext/>
      <w:jc w:val="center"/>
    </w:pPr>
    <w:rPr>
      <w:b/>
      <w:color w:val="000099"/>
      <w:sz w:val="24"/>
    </w:rPr>
  </w:style>
  <w:style w:type="character" w:styleId="Hyperlink">
    <w:name w:val="Hyperlink"/>
    <w:rsid w:val="00353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299709">
      <w:bodyDiv w:val="1"/>
      <w:marLeft w:val="0"/>
      <w:marRight w:val="0"/>
      <w:marTop w:val="0"/>
      <w:marBottom w:val="0"/>
      <w:divBdr>
        <w:top w:val="none" w:sz="0" w:space="0" w:color="auto"/>
        <w:left w:val="none" w:sz="0" w:space="0" w:color="auto"/>
        <w:bottom w:val="none" w:sz="0" w:space="0" w:color="auto"/>
        <w:right w:val="none" w:sz="0" w:space="0" w:color="auto"/>
      </w:divBdr>
    </w:div>
    <w:div w:id="372846199">
      <w:bodyDiv w:val="1"/>
      <w:marLeft w:val="0"/>
      <w:marRight w:val="0"/>
      <w:marTop w:val="0"/>
      <w:marBottom w:val="0"/>
      <w:divBdr>
        <w:top w:val="none" w:sz="0" w:space="0" w:color="auto"/>
        <w:left w:val="none" w:sz="0" w:space="0" w:color="auto"/>
        <w:bottom w:val="none" w:sz="0" w:space="0" w:color="auto"/>
        <w:right w:val="none" w:sz="0" w:space="0" w:color="auto"/>
      </w:divBdr>
    </w:div>
    <w:div w:id="565847201">
      <w:bodyDiv w:val="1"/>
      <w:marLeft w:val="0"/>
      <w:marRight w:val="0"/>
      <w:marTop w:val="0"/>
      <w:marBottom w:val="0"/>
      <w:divBdr>
        <w:top w:val="none" w:sz="0" w:space="0" w:color="auto"/>
        <w:left w:val="none" w:sz="0" w:space="0" w:color="auto"/>
        <w:bottom w:val="none" w:sz="0" w:space="0" w:color="auto"/>
        <w:right w:val="none" w:sz="0" w:space="0" w:color="auto"/>
      </w:divBdr>
    </w:div>
    <w:div w:id="820002850">
      <w:bodyDiv w:val="1"/>
      <w:marLeft w:val="0"/>
      <w:marRight w:val="0"/>
      <w:marTop w:val="0"/>
      <w:marBottom w:val="0"/>
      <w:divBdr>
        <w:top w:val="none" w:sz="0" w:space="0" w:color="auto"/>
        <w:left w:val="none" w:sz="0" w:space="0" w:color="auto"/>
        <w:bottom w:val="none" w:sz="0" w:space="0" w:color="auto"/>
        <w:right w:val="none" w:sz="0" w:space="0" w:color="auto"/>
      </w:divBdr>
    </w:div>
    <w:div w:id="1209024341">
      <w:bodyDiv w:val="1"/>
      <w:marLeft w:val="0"/>
      <w:marRight w:val="0"/>
      <w:marTop w:val="0"/>
      <w:marBottom w:val="0"/>
      <w:divBdr>
        <w:top w:val="none" w:sz="0" w:space="0" w:color="auto"/>
        <w:left w:val="none" w:sz="0" w:space="0" w:color="auto"/>
        <w:bottom w:val="none" w:sz="0" w:space="0" w:color="auto"/>
        <w:right w:val="none" w:sz="0" w:space="0" w:color="auto"/>
      </w:divBdr>
    </w:div>
    <w:div w:id="1488208518">
      <w:bodyDiv w:val="1"/>
      <w:marLeft w:val="0"/>
      <w:marRight w:val="0"/>
      <w:marTop w:val="0"/>
      <w:marBottom w:val="0"/>
      <w:divBdr>
        <w:top w:val="none" w:sz="0" w:space="0" w:color="auto"/>
        <w:left w:val="none" w:sz="0" w:space="0" w:color="auto"/>
        <w:bottom w:val="none" w:sz="0" w:space="0" w:color="auto"/>
        <w:right w:val="none" w:sz="0" w:space="0" w:color="auto"/>
      </w:divBdr>
    </w:div>
    <w:div w:id="200173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deohl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ode\AppData\Roaming\Microsoft\Templates\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paper.dotx</Template>
  <TotalTime>13</TotalTime>
  <Pages>2</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Instructions and Acronyms</vt:lpstr>
    </vt:vector>
  </TitlesOfParts>
  <Manager>http://www.godeohlson.com</Manager>
  <Company>paper.dot</Company>
  <LinksUpToDate>false</LinksUpToDate>
  <CharactersWithSpaces>7124</CharactersWithSpaces>
  <SharedDoc>false</SharedDoc>
  <HLinks>
    <vt:vector size="6" baseType="variant">
      <vt:variant>
        <vt:i4>2752545</vt:i4>
      </vt:variant>
      <vt:variant>
        <vt:i4>6</vt:i4>
      </vt:variant>
      <vt:variant>
        <vt:i4>0</vt:i4>
      </vt:variant>
      <vt:variant>
        <vt:i4>5</vt:i4>
      </vt:variant>
      <vt:variant>
        <vt:lpwstr>http://www.godeohlson.com/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and Acronyms</dc:title>
  <dc:subject>Financial Statement Analysis and Valuation</dc:subject>
  <dc:creator>Dan Gode and James Ohlson</dc:creator>
  <cp:keywords/>
  <dc:description/>
  <cp:lastModifiedBy>Dan Gode</cp:lastModifiedBy>
  <cp:revision>14</cp:revision>
  <cp:lastPrinted>2012-01-23T17:21:00Z</cp:lastPrinted>
  <dcterms:created xsi:type="dcterms:W3CDTF">2012-01-08T20:33:00Z</dcterms:created>
  <dcterms:modified xsi:type="dcterms:W3CDTF">2016-09-03T23:01:00Z</dcterms:modified>
</cp:coreProperties>
</file>