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05" w:rsidRDefault="009148D7">
      <w:pPr>
        <w:pStyle w:val="Title"/>
      </w:pPr>
      <w:bookmarkStart w:id="0" w:name="_GoBack"/>
      <w:bookmarkEnd w:id="0"/>
      <w:smartTag w:uri="urn:schemas-microsoft-com:office:smarttags" w:element="City">
        <w:smartTag w:uri="urn:schemas-microsoft-com:office:smarttags" w:element="place">
          <w:r>
            <w:t>Enterprise</w:t>
          </w:r>
        </w:smartTag>
      </w:smartTag>
      <w:r>
        <w:t xml:space="preserve"> and Financial Activities</w:t>
      </w:r>
    </w:p>
    <w:p w:rsidR="00864705" w:rsidRDefault="00A301A4">
      <w:pPr>
        <w:pStyle w:val="Subtitle"/>
      </w:pPr>
      <w:r>
        <w:t xml:space="preserve">© </w:t>
      </w:r>
      <w:r w:rsidR="00864705">
        <w:t>Dan Gode and James Ohlson</w:t>
      </w:r>
    </w:p>
    <w:p w:rsidR="00D47FEA" w:rsidRDefault="00864705" w:rsidP="00D47FEA">
      <w:pPr>
        <w:pStyle w:val="Heading1"/>
      </w:pPr>
      <w:r>
        <w:t>Overview</w:t>
      </w:r>
    </w:p>
    <w:p w:rsidR="00BA33AE" w:rsidRDefault="001E4E65" w:rsidP="00EA213F">
      <w:pPr>
        <w:pStyle w:val="BodyText"/>
      </w:pPr>
      <w:r>
        <w:t>A</w:t>
      </w:r>
      <w:r w:rsidRPr="001E4E65">
        <w:t xml:space="preserve"> firm’s business activities – what we will refer to as “enterprise activities” – </w:t>
      </w:r>
      <w:r>
        <w:t>are</w:t>
      </w:r>
      <w:r w:rsidRPr="001E4E65">
        <w:t xml:space="preserve"> the main source of value creation. Such activities stand in contrast to financial activities, in particular borrowing and lending. </w:t>
      </w:r>
    </w:p>
    <w:p w:rsidR="00BA33AE" w:rsidRDefault="00BA33AE" w:rsidP="00EA213F">
      <w:pPr>
        <w:pStyle w:val="BodyText"/>
      </w:pPr>
      <w:r>
        <w:t>Analysis of enterprise</w:t>
      </w:r>
      <w:r w:rsidR="001E4E65" w:rsidRPr="001E4E65">
        <w:t xml:space="preserve"> </w:t>
      </w:r>
      <w:r>
        <w:t xml:space="preserve">activities </w:t>
      </w:r>
      <w:r w:rsidR="001E4E65" w:rsidRPr="001E4E65">
        <w:t xml:space="preserve">naturally focuses on </w:t>
      </w:r>
      <w:r>
        <w:t xml:space="preserve">the following </w:t>
      </w:r>
      <w:r w:rsidR="001E4E65">
        <w:t>questions</w:t>
      </w:r>
      <w:r w:rsidR="001E4E65" w:rsidRPr="001E4E65">
        <w:t xml:space="preserve">: </w:t>
      </w:r>
    </w:p>
    <w:p w:rsidR="00BA33AE" w:rsidRDefault="001E4E65" w:rsidP="008606C2">
      <w:pPr>
        <w:pStyle w:val="BodyText"/>
        <w:numPr>
          <w:ilvl w:val="0"/>
          <w:numId w:val="17"/>
        </w:numPr>
      </w:pPr>
      <w:r w:rsidRPr="001E4E65">
        <w:t xml:space="preserve">How much cash did the </w:t>
      </w:r>
      <w:r>
        <w:t>enterprise</w:t>
      </w:r>
      <w:r w:rsidRPr="001E4E65">
        <w:t xml:space="preserve"> generate? </w:t>
      </w:r>
    </w:p>
    <w:p w:rsidR="00BA33AE" w:rsidRDefault="001E4E65" w:rsidP="008606C2">
      <w:pPr>
        <w:pStyle w:val="BodyText"/>
        <w:numPr>
          <w:ilvl w:val="0"/>
          <w:numId w:val="17"/>
        </w:numPr>
      </w:pPr>
      <w:r w:rsidRPr="001E4E65">
        <w:t xml:space="preserve">How profitable is the </w:t>
      </w:r>
      <w:r>
        <w:t>enterprise</w:t>
      </w:r>
      <w:r w:rsidRPr="001E4E65">
        <w:t xml:space="preserve">, and what are the drivers of this profitability? </w:t>
      </w:r>
    </w:p>
    <w:p w:rsidR="00BA33AE" w:rsidRDefault="001E4E65" w:rsidP="008606C2">
      <w:pPr>
        <w:pStyle w:val="BodyText"/>
        <w:numPr>
          <w:ilvl w:val="0"/>
          <w:numId w:val="17"/>
        </w:numPr>
      </w:pPr>
      <w:r w:rsidRPr="001E4E65">
        <w:t xml:space="preserve">How do we quantify </w:t>
      </w:r>
      <w:r>
        <w:t xml:space="preserve">enterprise </w:t>
      </w:r>
      <w:r w:rsidRPr="001E4E65">
        <w:t>growth</w:t>
      </w:r>
      <w:r w:rsidR="00085B31">
        <w:t xml:space="preserve">? </w:t>
      </w:r>
    </w:p>
    <w:p w:rsidR="00BA33AE" w:rsidRDefault="00BA33AE" w:rsidP="00EA213F">
      <w:pPr>
        <w:pStyle w:val="BodyText"/>
      </w:pPr>
      <w:r>
        <w:t xml:space="preserve">Analysis of </w:t>
      </w:r>
      <w:r w:rsidR="001E4E65" w:rsidRPr="001E4E65">
        <w:t>financial activities</w:t>
      </w:r>
      <w:r>
        <w:t xml:space="preserve"> focusses on the following</w:t>
      </w:r>
      <w:r w:rsidR="001E4E65" w:rsidRPr="001E4E65">
        <w:t xml:space="preserve"> questions: </w:t>
      </w:r>
    </w:p>
    <w:p w:rsidR="00BA33AE" w:rsidRDefault="001E4E65" w:rsidP="008606C2">
      <w:pPr>
        <w:pStyle w:val="BodyText"/>
        <w:numPr>
          <w:ilvl w:val="0"/>
          <w:numId w:val="17"/>
        </w:numPr>
      </w:pPr>
      <w:r w:rsidRPr="001E4E65">
        <w:t xml:space="preserve">How did the firm </w:t>
      </w:r>
      <w:r>
        <w:t>finance negative enterprise cash flows or use</w:t>
      </w:r>
      <w:r w:rsidRPr="001E4E65">
        <w:t xml:space="preserve"> the </w:t>
      </w:r>
      <w:r>
        <w:t xml:space="preserve">positive enterprise </w:t>
      </w:r>
      <w:r w:rsidRPr="001E4E65">
        <w:t xml:space="preserve">cash </w:t>
      </w:r>
      <w:r>
        <w:t>flow?</w:t>
      </w:r>
      <w:r w:rsidRPr="001E4E65">
        <w:t xml:space="preserve"> </w:t>
      </w:r>
    </w:p>
    <w:p w:rsidR="00BA33AE" w:rsidRDefault="001E4E65" w:rsidP="008606C2">
      <w:pPr>
        <w:pStyle w:val="BodyText"/>
        <w:numPr>
          <w:ilvl w:val="0"/>
          <w:numId w:val="17"/>
        </w:numPr>
      </w:pPr>
      <w:r w:rsidRPr="001E4E65">
        <w:t xml:space="preserve">How did the firm’s financial policy affect its </w:t>
      </w:r>
      <w:r>
        <w:t>return to shareholders</w:t>
      </w:r>
      <w:r w:rsidRPr="001E4E65">
        <w:t>?</w:t>
      </w:r>
      <w:r>
        <w:t xml:space="preserve"> </w:t>
      </w:r>
    </w:p>
    <w:p w:rsidR="00EA213F" w:rsidRDefault="00BA33AE" w:rsidP="00EA213F">
      <w:pPr>
        <w:pStyle w:val="BodyText"/>
      </w:pPr>
      <w:r>
        <w:t xml:space="preserve">To answer these questions, </w:t>
      </w:r>
      <w:r w:rsidR="0081372F">
        <w:t>FSA1 does the following:</w:t>
      </w:r>
      <w:r w:rsidR="00EA213F">
        <w:t xml:space="preserve"> </w:t>
      </w:r>
    </w:p>
    <w:p w:rsidR="005E3365" w:rsidRDefault="00761DE1" w:rsidP="00D207A0">
      <w:pPr>
        <w:pStyle w:val="BodyText"/>
        <w:numPr>
          <w:ilvl w:val="0"/>
          <w:numId w:val="17"/>
        </w:numPr>
      </w:pPr>
      <w:r>
        <w:t xml:space="preserve">It </w:t>
      </w:r>
      <w:r w:rsidR="00B902EA">
        <w:t>categorizes</w:t>
      </w:r>
      <w:r w:rsidR="00172EC6">
        <w:t xml:space="preserve"> all line items in the </w:t>
      </w:r>
      <w:r w:rsidR="004F7348">
        <w:t xml:space="preserve">financial </w:t>
      </w:r>
      <w:r w:rsidR="00172EC6">
        <w:t>statement</w:t>
      </w:r>
      <w:r w:rsidR="004F7348">
        <w:t>s</w:t>
      </w:r>
      <w:r w:rsidR="00172EC6" w:rsidRPr="00172EC6">
        <w:t xml:space="preserve"> into two basic </w:t>
      </w:r>
      <w:r w:rsidR="00517194">
        <w:t>categories</w:t>
      </w:r>
      <w:r w:rsidR="00172EC6" w:rsidRPr="00172EC6">
        <w:t xml:space="preserve">, </w:t>
      </w:r>
      <w:r w:rsidR="00172EC6" w:rsidRPr="00172EC6">
        <w:rPr>
          <w:rStyle w:val="Emphasize"/>
        </w:rPr>
        <w:t>enterprise vs. financial</w:t>
      </w:r>
      <w:r w:rsidR="00D87A74">
        <w:t xml:space="preserve">. </w:t>
      </w:r>
      <w:r w:rsidR="003A5629" w:rsidRPr="003A5629">
        <w:t xml:space="preserve">Broadly speaking, enterprise activities are those that focus on the </w:t>
      </w:r>
      <w:r w:rsidR="00AD0618">
        <w:t>revenue</w:t>
      </w:r>
      <w:r w:rsidR="003A5629" w:rsidRPr="003A5629">
        <w:t xml:space="preserve"> generating process, while financial activities typically involve </w:t>
      </w:r>
      <w:r w:rsidR="00F03B01">
        <w:t xml:space="preserve">transactions with lenders and shareholders and </w:t>
      </w:r>
      <w:r w:rsidR="003A5629" w:rsidRPr="003A5629">
        <w:t>investment</w:t>
      </w:r>
      <w:r w:rsidR="00F03B01">
        <w:t>s</w:t>
      </w:r>
      <w:r w:rsidR="003A5629" w:rsidRPr="003A5629">
        <w:t xml:space="preserve"> in passive marketable securities.</w:t>
      </w:r>
    </w:p>
    <w:tbl>
      <w:tblPr>
        <w:tblW w:w="0" w:type="auto"/>
        <w:tblInd w:w="61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1E0" w:firstRow="1" w:lastRow="1" w:firstColumn="1" w:lastColumn="1" w:noHBand="0" w:noVBand="0"/>
      </w:tblPr>
      <w:tblGrid>
        <w:gridCol w:w="1734"/>
        <w:gridCol w:w="2936"/>
        <w:gridCol w:w="4065"/>
      </w:tblGrid>
      <w:tr w:rsidR="00F02CB4" w:rsidTr="00E776FB">
        <w:trPr>
          <w:cantSplit/>
        </w:trPr>
        <w:tc>
          <w:tcPr>
            <w:tcW w:w="0" w:type="auto"/>
          </w:tcPr>
          <w:p w:rsidR="00FE467D" w:rsidRDefault="00FE467D" w:rsidP="00B2385B">
            <w:pPr>
              <w:pStyle w:val="TableLeftText"/>
              <w:keepNext/>
            </w:pPr>
          </w:p>
        </w:tc>
        <w:tc>
          <w:tcPr>
            <w:tcW w:w="0" w:type="auto"/>
            <w:shd w:val="clear" w:color="auto" w:fill="CCECFF"/>
          </w:tcPr>
          <w:p w:rsidR="00FE467D" w:rsidRDefault="00FE467D" w:rsidP="00B2385B">
            <w:pPr>
              <w:pStyle w:val="TableLeftText"/>
              <w:keepNext/>
            </w:pPr>
            <w:smartTag w:uri="urn:schemas-microsoft-com:office:smarttags" w:element="City">
              <w:smartTag w:uri="urn:schemas-microsoft-com:office:smarttags" w:element="place">
                <w:r>
                  <w:t>Enterprise</w:t>
                </w:r>
              </w:smartTag>
            </w:smartTag>
          </w:p>
        </w:tc>
        <w:tc>
          <w:tcPr>
            <w:tcW w:w="0" w:type="auto"/>
            <w:shd w:val="clear" w:color="auto" w:fill="CCECFF"/>
          </w:tcPr>
          <w:p w:rsidR="00FE467D" w:rsidRDefault="00FE467D" w:rsidP="00B2385B">
            <w:pPr>
              <w:pStyle w:val="TableLeftText"/>
              <w:keepNext/>
            </w:pPr>
            <w:r>
              <w:t>Financial</w:t>
            </w:r>
          </w:p>
        </w:tc>
      </w:tr>
      <w:tr w:rsidR="00F02CB4" w:rsidTr="00E776FB">
        <w:trPr>
          <w:cantSplit/>
        </w:trPr>
        <w:tc>
          <w:tcPr>
            <w:tcW w:w="0" w:type="auto"/>
            <w:shd w:val="clear" w:color="auto" w:fill="E6E6E6"/>
          </w:tcPr>
          <w:p w:rsidR="00FE467D" w:rsidRDefault="00FE467D" w:rsidP="00B2385B">
            <w:pPr>
              <w:pStyle w:val="TableLeftText"/>
              <w:keepNext/>
            </w:pPr>
            <w:r>
              <w:t>Income statement</w:t>
            </w:r>
          </w:p>
        </w:tc>
        <w:tc>
          <w:tcPr>
            <w:tcW w:w="0" w:type="auto"/>
          </w:tcPr>
          <w:p w:rsidR="008D65E4" w:rsidRDefault="00FE467D" w:rsidP="00B2385B">
            <w:pPr>
              <w:pStyle w:val="TableLeftText"/>
              <w:keepNext/>
            </w:pPr>
            <w:smartTag w:uri="urn:schemas-microsoft-com:office:smarttags" w:element="City">
              <w:smartTag w:uri="urn:schemas-microsoft-com:office:smarttags" w:element="place">
                <w:r>
                  <w:t>Enterprise</w:t>
                </w:r>
              </w:smartTag>
            </w:smartTag>
            <w:r>
              <w:t xml:space="preserve"> profit after tax: EPAT</w:t>
            </w:r>
          </w:p>
        </w:tc>
        <w:tc>
          <w:tcPr>
            <w:tcW w:w="0" w:type="auto"/>
          </w:tcPr>
          <w:p w:rsidR="00FE467D" w:rsidRDefault="00FE467D" w:rsidP="00B2385B">
            <w:pPr>
              <w:pStyle w:val="TableLeftText"/>
              <w:keepNext/>
            </w:pPr>
            <w:r>
              <w:t>Net financial expense after taxes: NFEAT</w:t>
            </w:r>
          </w:p>
        </w:tc>
      </w:tr>
      <w:tr w:rsidR="00F02CB4" w:rsidTr="00E776FB">
        <w:trPr>
          <w:cantSplit/>
        </w:trPr>
        <w:tc>
          <w:tcPr>
            <w:tcW w:w="0" w:type="auto"/>
            <w:shd w:val="clear" w:color="auto" w:fill="E6E6E6"/>
          </w:tcPr>
          <w:p w:rsidR="00FE467D" w:rsidRDefault="00FE467D" w:rsidP="00B2385B">
            <w:pPr>
              <w:pStyle w:val="TableLeftText"/>
              <w:keepNext/>
            </w:pPr>
            <w:r>
              <w:t>Balance sheet</w:t>
            </w:r>
          </w:p>
        </w:tc>
        <w:tc>
          <w:tcPr>
            <w:tcW w:w="0" w:type="auto"/>
          </w:tcPr>
          <w:p w:rsidR="00FE467D" w:rsidRDefault="00FE467D" w:rsidP="00B2385B">
            <w:pPr>
              <w:pStyle w:val="TableLeftText"/>
              <w:keepNext/>
            </w:pPr>
            <w:r>
              <w:t>Net enterprise assets: NEA</w:t>
            </w:r>
          </w:p>
        </w:tc>
        <w:tc>
          <w:tcPr>
            <w:tcW w:w="0" w:type="auto"/>
          </w:tcPr>
          <w:p w:rsidR="009148D7" w:rsidRDefault="00FE467D" w:rsidP="00B2385B">
            <w:pPr>
              <w:pStyle w:val="TableLeftText"/>
              <w:keepNext/>
            </w:pPr>
            <w:smartTag w:uri="urn:schemas-microsoft-com:office:smarttags" w:element="City">
              <w:smartTag w:uri="urn:schemas-microsoft-com:office:smarttags" w:element="place">
                <w:r>
                  <w:t>Enterprise</w:t>
                </w:r>
              </w:smartTag>
            </w:smartTag>
            <w:r>
              <w:t xml:space="preserve"> </w:t>
            </w:r>
            <w:r w:rsidR="00F02CB4">
              <w:t xml:space="preserve">or invested </w:t>
            </w:r>
            <w:r>
              <w:t xml:space="preserve">capital: </w:t>
            </w:r>
            <w:r w:rsidR="00F02CB4">
              <w:t>[</w:t>
            </w:r>
            <w:r>
              <w:t>EC</w:t>
            </w:r>
            <w:r w:rsidR="009148D7">
              <w:t xml:space="preserve"> </w:t>
            </w:r>
            <w:r w:rsidR="00F02CB4">
              <w:t>or IC]</w:t>
            </w:r>
          </w:p>
          <w:p w:rsidR="00FE467D" w:rsidRDefault="009148D7" w:rsidP="00B2385B">
            <w:pPr>
              <w:pStyle w:val="TableLeftText"/>
              <w:keepNext/>
            </w:pPr>
            <w:r>
              <w:t>=Net financial liabilities</w:t>
            </w:r>
            <w:r w:rsidR="00B2385B">
              <w:t xml:space="preserve"> [NFL]</w:t>
            </w:r>
            <w:r w:rsidR="00673985">
              <w:t xml:space="preserve"> </w:t>
            </w:r>
            <w:r>
              <w:t>+</w:t>
            </w:r>
            <w:r w:rsidR="00673985">
              <w:t xml:space="preserve"> </w:t>
            </w:r>
            <w:r>
              <w:t>Equity</w:t>
            </w:r>
            <w:r w:rsidR="00B2385B">
              <w:t xml:space="preserve"> [</w:t>
            </w:r>
            <w:r w:rsidR="00F02CB4">
              <w:t>EQ]</w:t>
            </w:r>
          </w:p>
        </w:tc>
      </w:tr>
      <w:tr w:rsidR="00F02CB4" w:rsidTr="00E776FB">
        <w:trPr>
          <w:cantSplit/>
        </w:trPr>
        <w:tc>
          <w:tcPr>
            <w:tcW w:w="0" w:type="auto"/>
            <w:shd w:val="clear" w:color="auto" w:fill="E6E6E6"/>
          </w:tcPr>
          <w:p w:rsidR="00FE467D" w:rsidRDefault="00FE467D" w:rsidP="00B2385B">
            <w:pPr>
              <w:pStyle w:val="TableLeftText"/>
            </w:pPr>
            <w:r>
              <w:t>Cash flows</w:t>
            </w:r>
          </w:p>
        </w:tc>
        <w:tc>
          <w:tcPr>
            <w:tcW w:w="0" w:type="auto"/>
          </w:tcPr>
          <w:p w:rsidR="00FE467D" w:rsidRDefault="00E56A74" w:rsidP="00B2385B">
            <w:pPr>
              <w:pStyle w:val="TableLeftText"/>
            </w:pPr>
            <w:smartTag w:uri="urn:schemas-microsoft-com:office:smarttags" w:element="City">
              <w:smartTag w:uri="urn:schemas-microsoft-com:office:smarttags" w:element="place">
                <w:r>
                  <w:t>Enterprise</w:t>
                </w:r>
              </w:smartTag>
            </w:smartTag>
            <w:r>
              <w:t xml:space="preserve"> cash flow</w:t>
            </w:r>
            <w:r w:rsidR="008D65E4">
              <w:t>: ECF</w:t>
            </w:r>
          </w:p>
        </w:tc>
        <w:tc>
          <w:tcPr>
            <w:tcW w:w="0" w:type="auto"/>
          </w:tcPr>
          <w:p w:rsidR="00FE467D" w:rsidRDefault="00FE467D" w:rsidP="00B2385B">
            <w:pPr>
              <w:pStyle w:val="TableLeftText"/>
            </w:pPr>
            <w:r>
              <w:t>Financial cash flows</w:t>
            </w:r>
            <w:r w:rsidR="00550651">
              <w:t xml:space="preserve"> [FinCF]</w:t>
            </w:r>
          </w:p>
          <w:p w:rsidR="008D65E4" w:rsidRDefault="008D65E4" w:rsidP="00B2385B">
            <w:pPr>
              <w:pStyle w:val="TableLeftText"/>
            </w:pPr>
            <w:r>
              <w:t xml:space="preserve">= Cash flows for net financial liabilities </w:t>
            </w:r>
          </w:p>
          <w:p w:rsidR="008D65E4" w:rsidRDefault="008D65E4" w:rsidP="00B2385B">
            <w:pPr>
              <w:pStyle w:val="TableLeftText"/>
            </w:pPr>
            <w:r>
              <w:t>+ Cash flows for equity</w:t>
            </w:r>
          </w:p>
        </w:tc>
      </w:tr>
    </w:tbl>
    <w:p w:rsidR="002D3793" w:rsidRDefault="002D3793" w:rsidP="00E7322D">
      <w:pPr>
        <w:pStyle w:val="6pointSpacer"/>
      </w:pPr>
    </w:p>
    <w:p w:rsidR="00E7322D" w:rsidRDefault="008C5001" w:rsidP="002D3793">
      <w:pPr>
        <w:pStyle w:val="Left1"/>
      </w:pPr>
      <w:r>
        <w:t xml:space="preserve">One </w:t>
      </w:r>
      <w:r w:rsidR="00671481">
        <w:t xml:space="preserve">starts by </w:t>
      </w:r>
      <w:r w:rsidR="00647746">
        <w:t>i</w:t>
      </w:r>
      <w:r w:rsidR="00671481">
        <w:t xml:space="preserve">dentifying </w:t>
      </w:r>
      <w:r w:rsidR="00C060CB" w:rsidRPr="00C060CB">
        <w:t>the financial items</w:t>
      </w:r>
      <w:r w:rsidR="00524989">
        <w:t xml:space="preserve"> because they are less numerous</w:t>
      </w:r>
      <w:r w:rsidR="006B7C48">
        <w:t>. All it</w:t>
      </w:r>
      <w:r w:rsidR="006B7C48" w:rsidRPr="006B7C48">
        <w:t>e</w:t>
      </w:r>
      <w:r w:rsidR="006B7C48">
        <w:t>m</w:t>
      </w:r>
      <w:r w:rsidR="006B7C48" w:rsidRPr="006B7C48">
        <w:t xml:space="preserve">s that </w:t>
      </w:r>
      <w:r w:rsidR="00C970B6">
        <w:t xml:space="preserve">are not classified as financial items must be classified as </w:t>
      </w:r>
      <w:r w:rsidR="006B7C48" w:rsidRPr="006B7C48">
        <w:t>enterprise</w:t>
      </w:r>
      <w:r w:rsidR="00C060CB" w:rsidRPr="00C060CB">
        <w:t xml:space="preserve"> items.</w:t>
      </w:r>
      <w:r w:rsidR="00082E84">
        <w:t xml:space="preserve"> The</w:t>
      </w:r>
      <w:r w:rsidR="00F418E5">
        <w:t xml:space="preserve">se </w:t>
      </w:r>
      <w:r w:rsidR="00D30C87">
        <w:t xml:space="preserve">enterprise </w:t>
      </w:r>
      <w:r w:rsidR="00F418E5">
        <w:t>items are the focus of the spreadsheet.</w:t>
      </w:r>
      <w:r w:rsidR="00082E84">
        <w:t xml:space="preserve"> </w:t>
      </w:r>
    </w:p>
    <w:p w:rsidR="00E7322D" w:rsidRDefault="00E7322D" w:rsidP="00D207A0"/>
    <w:p w:rsidR="008C401C" w:rsidRDefault="00CF793A" w:rsidP="008C401C">
      <w:pPr>
        <w:pStyle w:val="BodyText"/>
        <w:numPr>
          <w:ilvl w:val="0"/>
          <w:numId w:val="17"/>
        </w:numPr>
      </w:pPr>
      <w:r>
        <w:t>It highlights the drivers of return on invested capital [or return on net enterprise assets]</w:t>
      </w:r>
      <w:r w:rsidR="008C401C">
        <w:t xml:space="preserve">. </w:t>
      </w:r>
    </w:p>
    <w:p w:rsidR="008C401C" w:rsidRDefault="00AD0618" w:rsidP="008C401C">
      <w:pPr>
        <w:pStyle w:val="Left1"/>
      </w:pPr>
      <w:r>
        <w:t>Return on invested capital</w:t>
      </w:r>
      <w:r w:rsidR="007B37A5">
        <w:t xml:space="preserve"> [ROIC] = EPAT/Invested capital.</w:t>
      </w:r>
    </w:p>
    <w:p w:rsidR="005E29A9" w:rsidRDefault="005E29A9" w:rsidP="005E29A9">
      <w:pPr>
        <w:pStyle w:val="6pointSpacer"/>
      </w:pPr>
    </w:p>
    <w:p w:rsidR="00352E65" w:rsidRDefault="008C401C" w:rsidP="004A726E">
      <w:pPr>
        <w:pStyle w:val="Left1"/>
      </w:pPr>
      <w:r>
        <w:t xml:space="preserve">Since invested </w:t>
      </w:r>
      <w:r w:rsidR="007B37A5">
        <w:t>capital = net enterprise assets,</w:t>
      </w:r>
      <w:r>
        <w:t xml:space="preserve"> ROIC </w:t>
      </w:r>
      <w:r w:rsidR="00AD0618">
        <w:t>= EPAT/Net enterprise assets = Return on net enterprise assets [RNEA]</w:t>
      </w:r>
    </w:p>
    <w:p w:rsidR="00B63EE0" w:rsidRDefault="00B63EE0" w:rsidP="00B63EE0">
      <w:pPr>
        <w:pStyle w:val="6pointSpacer"/>
      </w:pPr>
    </w:p>
    <w:tbl>
      <w:tblPr>
        <w:tblW w:w="0" w:type="auto"/>
        <w:tblInd w:w="619" w:type="dxa"/>
        <w:shd w:val="clear" w:color="auto" w:fill="CCECFF"/>
        <w:tblLook w:val="01E0" w:firstRow="1" w:lastRow="1" w:firstColumn="1" w:lastColumn="1" w:noHBand="0" w:noVBand="0"/>
      </w:tblPr>
      <w:tblGrid>
        <w:gridCol w:w="982"/>
        <w:gridCol w:w="3120"/>
        <w:gridCol w:w="326"/>
        <w:gridCol w:w="2739"/>
      </w:tblGrid>
      <w:tr w:rsidR="004564D3" w:rsidTr="0055134B">
        <w:trPr>
          <w:cantSplit/>
        </w:trPr>
        <w:tc>
          <w:tcPr>
            <w:tcW w:w="0" w:type="auto"/>
            <w:shd w:val="clear" w:color="auto" w:fill="CCECFF"/>
            <w:vAlign w:val="center"/>
          </w:tcPr>
          <w:p w:rsidR="004564D3" w:rsidRPr="00352E65" w:rsidRDefault="004564D3" w:rsidP="00836974">
            <w:pPr>
              <w:keepNext/>
              <w:jc w:val="center"/>
            </w:pPr>
          </w:p>
        </w:tc>
        <w:tc>
          <w:tcPr>
            <w:tcW w:w="0" w:type="auto"/>
            <w:shd w:val="clear" w:color="auto" w:fill="CCECFF"/>
          </w:tcPr>
          <w:p w:rsidR="004564D3" w:rsidRPr="00352E65" w:rsidRDefault="004564D3" w:rsidP="00E72446">
            <w:pPr>
              <w:keepNext/>
              <w:jc w:val="center"/>
            </w:pPr>
            <w:r>
              <w:t>Driver 1</w:t>
            </w:r>
          </w:p>
        </w:tc>
        <w:tc>
          <w:tcPr>
            <w:tcW w:w="0" w:type="auto"/>
            <w:shd w:val="clear" w:color="auto" w:fill="CCECFF"/>
            <w:vAlign w:val="center"/>
          </w:tcPr>
          <w:p w:rsidR="004564D3" w:rsidRPr="00836974" w:rsidRDefault="004564D3" w:rsidP="00836974">
            <w:pPr>
              <w:keepNext/>
              <w:jc w:val="center"/>
              <w:rPr>
                <w:rFonts w:ascii="Arial" w:hAnsi="Arial" w:cs="Arial"/>
              </w:rPr>
            </w:pPr>
          </w:p>
        </w:tc>
        <w:tc>
          <w:tcPr>
            <w:tcW w:w="0" w:type="auto"/>
            <w:shd w:val="clear" w:color="auto" w:fill="CCECFF"/>
          </w:tcPr>
          <w:p w:rsidR="004564D3" w:rsidRPr="00352E65" w:rsidRDefault="004564D3" w:rsidP="00E72446">
            <w:pPr>
              <w:keepNext/>
              <w:jc w:val="center"/>
            </w:pPr>
            <w:r>
              <w:t>Driver 2</w:t>
            </w:r>
          </w:p>
        </w:tc>
      </w:tr>
      <w:tr w:rsidR="004564D3" w:rsidTr="0055134B">
        <w:trPr>
          <w:cantSplit/>
        </w:trPr>
        <w:tc>
          <w:tcPr>
            <w:tcW w:w="0" w:type="auto"/>
            <w:shd w:val="clear" w:color="auto" w:fill="CCECFF"/>
            <w:vAlign w:val="center"/>
          </w:tcPr>
          <w:p w:rsidR="004564D3" w:rsidRPr="00352E65" w:rsidRDefault="004564D3" w:rsidP="002A108A">
            <w:pPr>
              <w:pStyle w:val="6pointSpacer"/>
            </w:pPr>
          </w:p>
        </w:tc>
        <w:tc>
          <w:tcPr>
            <w:tcW w:w="0" w:type="auto"/>
            <w:shd w:val="clear" w:color="auto" w:fill="CCECFF"/>
          </w:tcPr>
          <w:p w:rsidR="004564D3" w:rsidRDefault="004564D3" w:rsidP="002A108A">
            <w:pPr>
              <w:pStyle w:val="6pointSpacer"/>
            </w:pPr>
          </w:p>
        </w:tc>
        <w:tc>
          <w:tcPr>
            <w:tcW w:w="0" w:type="auto"/>
            <w:shd w:val="clear" w:color="auto" w:fill="CCECFF"/>
            <w:vAlign w:val="center"/>
          </w:tcPr>
          <w:p w:rsidR="004564D3" w:rsidRPr="00836974" w:rsidRDefault="004564D3" w:rsidP="002A108A">
            <w:pPr>
              <w:pStyle w:val="6pointSpacer"/>
              <w:rPr>
                <w:rFonts w:ascii="Arial" w:hAnsi="Arial" w:cs="Arial"/>
              </w:rPr>
            </w:pPr>
          </w:p>
        </w:tc>
        <w:tc>
          <w:tcPr>
            <w:tcW w:w="0" w:type="auto"/>
            <w:shd w:val="clear" w:color="auto" w:fill="CCECFF"/>
          </w:tcPr>
          <w:p w:rsidR="004564D3" w:rsidRDefault="004564D3" w:rsidP="002A108A">
            <w:pPr>
              <w:pStyle w:val="6pointSpacer"/>
            </w:pPr>
          </w:p>
        </w:tc>
      </w:tr>
      <w:tr w:rsidR="00836974" w:rsidTr="0055134B">
        <w:trPr>
          <w:cantSplit/>
        </w:trPr>
        <w:tc>
          <w:tcPr>
            <w:tcW w:w="0" w:type="auto"/>
            <w:vMerge w:val="restart"/>
            <w:shd w:val="clear" w:color="auto" w:fill="CCECFF"/>
            <w:vAlign w:val="center"/>
          </w:tcPr>
          <w:p w:rsidR="00836974" w:rsidRPr="00FE337A" w:rsidRDefault="00836974" w:rsidP="00836974">
            <w:pPr>
              <w:keepNext/>
              <w:jc w:val="center"/>
            </w:pPr>
            <w:r w:rsidRPr="00352E65">
              <w:t>RNEA</w:t>
            </w:r>
            <w:r>
              <w:t xml:space="preserve"> =</w:t>
            </w:r>
          </w:p>
        </w:tc>
        <w:tc>
          <w:tcPr>
            <w:tcW w:w="0" w:type="auto"/>
            <w:tcBorders>
              <w:bottom w:val="single" w:sz="4" w:space="0" w:color="auto"/>
            </w:tcBorders>
            <w:shd w:val="clear" w:color="auto" w:fill="CCECFF"/>
          </w:tcPr>
          <w:p w:rsidR="00836974" w:rsidRDefault="00836974" w:rsidP="00E72446">
            <w:pPr>
              <w:keepNext/>
              <w:jc w:val="center"/>
            </w:pPr>
            <w:r w:rsidRPr="00352E65">
              <w:t>EPAT</w:t>
            </w:r>
          </w:p>
        </w:tc>
        <w:tc>
          <w:tcPr>
            <w:tcW w:w="0" w:type="auto"/>
            <w:vMerge w:val="restart"/>
            <w:shd w:val="clear" w:color="auto" w:fill="CCECFF"/>
            <w:vAlign w:val="center"/>
          </w:tcPr>
          <w:p w:rsidR="00836974" w:rsidRPr="00836974" w:rsidRDefault="00836974" w:rsidP="00836974">
            <w:pPr>
              <w:keepNext/>
              <w:jc w:val="center"/>
              <w:rPr>
                <w:rFonts w:ascii="Arial" w:hAnsi="Arial" w:cs="Arial"/>
              </w:rPr>
            </w:pPr>
            <w:r w:rsidRPr="00836974">
              <w:rPr>
                <w:rFonts w:ascii="Arial" w:hAnsi="Arial" w:cs="Arial"/>
              </w:rPr>
              <w:t>x</w:t>
            </w:r>
          </w:p>
        </w:tc>
        <w:tc>
          <w:tcPr>
            <w:tcW w:w="0" w:type="auto"/>
            <w:tcBorders>
              <w:bottom w:val="single" w:sz="4" w:space="0" w:color="auto"/>
            </w:tcBorders>
            <w:shd w:val="clear" w:color="auto" w:fill="CCECFF"/>
          </w:tcPr>
          <w:p w:rsidR="00836974" w:rsidRDefault="00836974" w:rsidP="00E72446">
            <w:pPr>
              <w:keepNext/>
              <w:jc w:val="center"/>
            </w:pPr>
            <w:r w:rsidRPr="00352E65">
              <w:t>Sales</w:t>
            </w:r>
          </w:p>
        </w:tc>
      </w:tr>
      <w:tr w:rsidR="00836974" w:rsidTr="0055134B">
        <w:trPr>
          <w:cantSplit/>
        </w:trPr>
        <w:tc>
          <w:tcPr>
            <w:tcW w:w="0" w:type="auto"/>
            <w:vMerge/>
            <w:shd w:val="clear" w:color="auto" w:fill="CCECFF"/>
          </w:tcPr>
          <w:p w:rsidR="00836974" w:rsidRDefault="00836974" w:rsidP="00E72446">
            <w:pPr>
              <w:keepNext/>
              <w:jc w:val="center"/>
            </w:pPr>
          </w:p>
        </w:tc>
        <w:tc>
          <w:tcPr>
            <w:tcW w:w="0" w:type="auto"/>
            <w:tcBorders>
              <w:top w:val="single" w:sz="4" w:space="0" w:color="auto"/>
            </w:tcBorders>
            <w:shd w:val="clear" w:color="auto" w:fill="CCECFF"/>
          </w:tcPr>
          <w:p w:rsidR="00836974" w:rsidRDefault="00836974" w:rsidP="00E72446">
            <w:pPr>
              <w:keepNext/>
              <w:jc w:val="center"/>
            </w:pPr>
            <w:r w:rsidRPr="00352E65">
              <w:t>Sales</w:t>
            </w:r>
          </w:p>
        </w:tc>
        <w:tc>
          <w:tcPr>
            <w:tcW w:w="0" w:type="auto"/>
            <w:vMerge/>
            <w:shd w:val="clear" w:color="auto" w:fill="CCECFF"/>
          </w:tcPr>
          <w:p w:rsidR="00836974" w:rsidRDefault="00836974" w:rsidP="00E72446">
            <w:pPr>
              <w:keepNext/>
              <w:jc w:val="center"/>
            </w:pPr>
          </w:p>
        </w:tc>
        <w:tc>
          <w:tcPr>
            <w:tcW w:w="0" w:type="auto"/>
            <w:tcBorders>
              <w:top w:val="single" w:sz="4" w:space="0" w:color="auto"/>
            </w:tcBorders>
            <w:shd w:val="clear" w:color="auto" w:fill="CCECFF"/>
          </w:tcPr>
          <w:p w:rsidR="00836974" w:rsidRDefault="00836974" w:rsidP="00E72446">
            <w:pPr>
              <w:keepNext/>
              <w:jc w:val="center"/>
            </w:pPr>
            <w:r w:rsidRPr="00352E65">
              <w:t>Net enterprise assets</w:t>
            </w:r>
          </w:p>
        </w:tc>
      </w:tr>
      <w:tr w:rsidR="004564D3" w:rsidTr="0055134B">
        <w:trPr>
          <w:cantSplit/>
        </w:trPr>
        <w:tc>
          <w:tcPr>
            <w:tcW w:w="0" w:type="auto"/>
            <w:shd w:val="clear" w:color="auto" w:fill="CCECFF"/>
          </w:tcPr>
          <w:p w:rsidR="004564D3" w:rsidRDefault="004564D3" w:rsidP="004A726E">
            <w:pPr>
              <w:pStyle w:val="6pointSpacer"/>
            </w:pPr>
          </w:p>
        </w:tc>
        <w:tc>
          <w:tcPr>
            <w:tcW w:w="0" w:type="auto"/>
            <w:shd w:val="clear" w:color="auto" w:fill="CCECFF"/>
          </w:tcPr>
          <w:p w:rsidR="004564D3" w:rsidRPr="00352E65" w:rsidRDefault="004564D3" w:rsidP="004A726E">
            <w:pPr>
              <w:pStyle w:val="6pointSpacer"/>
            </w:pPr>
          </w:p>
        </w:tc>
        <w:tc>
          <w:tcPr>
            <w:tcW w:w="0" w:type="auto"/>
            <w:shd w:val="clear" w:color="auto" w:fill="CCECFF"/>
          </w:tcPr>
          <w:p w:rsidR="004564D3" w:rsidRDefault="004564D3" w:rsidP="004A726E">
            <w:pPr>
              <w:pStyle w:val="6pointSpacer"/>
            </w:pPr>
          </w:p>
        </w:tc>
        <w:tc>
          <w:tcPr>
            <w:tcW w:w="0" w:type="auto"/>
            <w:shd w:val="clear" w:color="auto" w:fill="CCECFF"/>
          </w:tcPr>
          <w:p w:rsidR="004564D3" w:rsidRPr="00352E65" w:rsidRDefault="004564D3" w:rsidP="004A726E">
            <w:pPr>
              <w:pStyle w:val="6pointSpacer"/>
            </w:pPr>
          </w:p>
        </w:tc>
      </w:tr>
      <w:tr w:rsidR="004564D3" w:rsidTr="0055134B">
        <w:trPr>
          <w:cantSplit/>
        </w:trPr>
        <w:tc>
          <w:tcPr>
            <w:tcW w:w="0" w:type="auto"/>
            <w:shd w:val="clear" w:color="auto" w:fill="CCECFF"/>
          </w:tcPr>
          <w:p w:rsidR="004564D3" w:rsidRDefault="004564D3" w:rsidP="00E72446">
            <w:pPr>
              <w:keepNext/>
              <w:jc w:val="center"/>
            </w:pPr>
          </w:p>
        </w:tc>
        <w:tc>
          <w:tcPr>
            <w:tcW w:w="0" w:type="auto"/>
            <w:shd w:val="clear" w:color="auto" w:fill="CCECFF"/>
          </w:tcPr>
          <w:p w:rsidR="004564D3" w:rsidRPr="00352E65" w:rsidRDefault="004564D3" w:rsidP="00E72446">
            <w:pPr>
              <w:keepNext/>
              <w:jc w:val="center"/>
            </w:pPr>
            <w:r>
              <w:t xml:space="preserve">Enterprise </w:t>
            </w:r>
            <w:r w:rsidR="00246A8A">
              <w:t xml:space="preserve">profit </w:t>
            </w:r>
            <w:r>
              <w:t>margin after tax</w:t>
            </w:r>
          </w:p>
        </w:tc>
        <w:tc>
          <w:tcPr>
            <w:tcW w:w="0" w:type="auto"/>
            <w:shd w:val="clear" w:color="auto" w:fill="CCECFF"/>
          </w:tcPr>
          <w:p w:rsidR="004564D3" w:rsidRDefault="004564D3" w:rsidP="00E72446">
            <w:pPr>
              <w:keepNext/>
              <w:jc w:val="center"/>
            </w:pPr>
          </w:p>
        </w:tc>
        <w:tc>
          <w:tcPr>
            <w:tcW w:w="0" w:type="auto"/>
            <w:shd w:val="clear" w:color="auto" w:fill="CCECFF"/>
          </w:tcPr>
          <w:p w:rsidR="004564D3" w:rsidRPr="00352E65" w:rsidRDefault="004564D3" w:rsidP="00E72446">
            <w:pPr>
              <w:keepNext/>
              <w:jc w:val="center"/>
            </w:pPr>
            <w:r>
              <w:t>Net enterprise asset turnover</w:t>
            </w:r>
          </w:p>
        </w:tc>
      </w:tr>
    </w:tbl>
    <w:p w:rsidR="00407ABF" w:rsidRDefault="00407ABF" w:rsidP="008C401C">
      <w:pPr>
        <w:pStyle w:val="Left1"/>
      </w:pPr>
    </w:p>
    <w:p w:rsidR="004564D3" w:rsidRDefault="00761DE1" w:rsidP="00FD7AA2">
      <w:pPr>
        <w:pStyle w:val="BodyText"/>
        <w:numPr>
          <w:ilvl w:val="0"/>
          <w:numId w:val="17"/>
        </w:numPr>
      </w:pPr>
      <w:r>
        <w:t xml:space="preserve">It </w:t>
      </w:r>
      <w:r w:rsidR="00982375">
        <w:t xml:space="preserve">derives enterprise cash flows and </w:t>
      </w:r>
      <w:r>
        <w:t>identifies</w:t>
      </w:r>
      <w:r w:rsidR="00982375">
        <w:t xml:space="preserve"> its </w:t>
      </w:r>
      <w:r>
        <w:t>two drivers</w:t>
      </w:r>
      <w:r w:rsidR="0087098D">
        <w:t>.</w:t>
      </w:r>
      <w:r w:rsidR="00982375">
        <w:t xml:space="preserve"> </w:t>
      </w:r>
    </w:p>
    <w:p w:rsidR="00FD7AA2" w:rsidRDefault="0087098D" w:rsidP="00B63EE0">
      <w:pPr>
        <w:pStyle w:val="Left1"/>
      </w:pPr>
      <w:r>
        <w:lastRenderedPageBreak/>
        <w:t>E</w:t>
      </w:r>
      <w:r w:rsidR="00982375">
        <w:t xml:space="preserve">nterprise cash flow </w:t>
      </w:r>
      <w:r w:rsidR="00FD7AA2">
        <w:t xml:space="preserve">(ECF) </w:t>
      </w:r>
      <w:r w:rsidR="00982375">
        <w:t xml:space="preserve">= </w:t>
      </w:r>
      <w:r w:rsidR="00FD7AA2">
        <w:t>EPAT – Change in NEA = NEA* (EPAT/NEA – Change in NEA/NEA)</w:t>
      </w:r>
    </w:p>
    <w:p w:rsidR="00B63EE0" w:rsidRDefault="00B63EE0" w:rsidP="00B63EE0">
      <w:pPr>
        <w:pStyle w:val="6pointSpacer"/>
      </w:pPr>
    </w:p>
    <w:tbl>
      <w:tblPr>
        <w:tblW w:w="0" w:type="auto"/>
        <w:tblInd w:w="619" w:type="dxa"/>
        <w:shd w:val="clear" w:color="auto" w:fill="CCECFF"/>
        <w:tblLook w:val="01E0" w:firstRow="1" w:lastRow="1" w:firstColumn="1" w:lastColumn="1" w:noHBand="0" w:noVBand="0"/>
      </w:tblPr>
      <w:tblGrid>
        <w:gridCol w:w="1514"/>
        <w:gridCol w:w="956"/>
        <w:gridCol w:w="1811"/>
        <w:gridCol w:w="222"/>
      </w:tblGrid>
      <w:tr w:rsidR="008C5001" w:rsidTr="008C5001">
        <w:trPr>
          <w:cantSplit/>
          <w:trHeight w:val="253"/>
        </w:trPr>
        <w:tc>
          <w:tcPr>
            <w:tcW w:w="0" w:type="auto"/>
            <w:shd w:val="clear" w:color="auto" w:fill="CCECFF"/>
          </w:tcPr>
          <w:p w:rsidR="008C5001" w:rsidRDefault="008C5001" w:rsidP="008C5001">
            <w:pPr>
              <w:keepNext/>
              <w:jc w:val="center"/>
            </w:pPr>
          </w:p>
        </w:tc>
        <w:tc>
          <w:tcPr>
            <w:tcW w:w="0" w:type="auto"/>
            <w:shd w:val="clear" w:color="auto" w:fill="CCECFF"/>
          </w:tcPr>
          <w:p w:rsidR="008C5001" w:rsidRDefault="008C5001" w:rsidP="008C5001">
            <w:pPr>
              <w:keepNext/>
              <w:jc w:val="center"/>
            </w:pPr>
            <w:r>
              <w:t>Driver 1</w:t>
            </w:r>
          </w:p>
        </w:tc>
        <w:tc>
          <w:tcPr>
            <w:tcW w:w="0" w:type="auto"/>
            <w:shd w:val="clear" w:color="auto" w:fill="CCECFF"/>
          </w:tcPr>
          <w:p w:rsidR="008C5001" w:rsidRDefault="008C5001" w:rsidP="00E72446">
            <w:pPr>
              <w:keepNext/>
              <w:jc w:val="center"/>
            </w:pPr>
            <w:r>
              <w:t>Driver 2</w:t>
            </w:r>
          </w:p>
        </w:tc>
        <w:tc>
          <w:tcPr>
            <w:tcW w:w="0" w:type="auto"/>
            <w:shd w:val="clear" w:color="auto" w:fill="CCECFF"/>
          </w:tcPr>
          <w:p w:rsidR="008C5001" w:rsidRDefault="008C5001" w:rsidP="00E72446">
            <w:pPr>
              <w:keepNext/>
              <w:jc w:val="center"/>
            </w:pPr>
          </w:p>
        </w:tc>
      </w:tr>
      <w:tr w:rsidR="008C5001" w:rsidTr="002A108A">
        <w:trPr>
          <w:cantSplit/>
          <w:trHeight w:val="99"/>
        </w:trPr>
        <w:tc>
          <w:tcPr>
            <w:tcW w:w="0" w:type="auto"/>
            <w:shd w:val="clear" w:color="auto" w:fill="CCECFF"/>
          </w:tcPr>
          <w:p w:rsidR="008C5001" w:rsidRDefault="008C5001" w:rsidP="002A108A">
            <w:pPr>
              <w:pStyle w:val="6pointSpacer"/>
            </w:pPr>
          </w:p>
        </w:tc>
        <w:tc>
          <w:tcPr>
            <w:tcW w:w="0" w:type="auto"/>
            <w:shd w:val="clear" w:color="auto" w:fill="CCECFF"/>
          </w:tcPr>
          <w:p w:rsidR="008C5001" w:rsidRDefault="008C5001" w:rsidP="002A108A">
            <w:pPr>
              <w:pStyle w:val="6pointSpacer"/>
            </w:pPr>
          </w:p>
        </w:tc>
        <w:tc>
          <w:tcPr>
            <w:tcW w:w="0" w:type="auto"/>
            <w:shd w:val="clear" w:color="auto" w:fill="CCECFF"/>
          </w:tcPr>
          <w:p w:rsidR="008C5001" w:rsidRDefault="008C5001" w:rsidP="002A108A">
            <w:pPr>
              <w:pStyle w:val="6pointSpacer"/>
            </w:pPr>
          </w:p>
        </w:tc>
        <w:tc>
          <w:tcPr>
            <w:tcW w:w="0" w:type="auto"/>
            <w:shd w:val="clear" w:color="auto" w:fill="CCECFF"/>
          </w:tcPr>
          <w:p w:rsidR="008C5001" w:rsidRDefault="008C5001" w:rsidP="002A108A">
            <w:pPr>
              <w:pStyle w:val="6pointSpacer"/>
            </w:pPr>
          </w:p>
        </w:tc>
      </w:tr>
      <w:tr w:rsidR="008C5001" w:rsidTr="008C5001">
        <w:trPr>
          <w:cantSplit/>
          <w:trHeight w:val="253"/>
        </w:trPr>
        <w:tc>
          <w:tcPr>
            <w:tcW w:w="0" w:type="auto"/>
            <w:shd w:val="clear" w:color="auto" w:fill="CCECFF"/>
          </w:tcPr>
          <w:p w:rsidR="008C5001" w:rsidRDefault="008C5001" w:rsidP="008C5001">
            <w:pPr>
              <w:keepNext/>
              <w:jc w:val="center"/>
            </w:pPr>
            <w:r>
              <w:t xml:space="preserve">ECF = NEA </w:t>
            </w:r>
            <w:r w:rsidR="0016095E">
              <w:t xml:space="preserve"> </w:t>
            </w:r>
            <w:r w:rsidR="0016095E" w:rsidRPr="00836974">
              <w:rPr>
                <w:rFonts w:ascii="Arial" w:hAnsi="Arial" w:cs="Arial"/>
              </w:rPr>
              <w:t>x</w:t>
            </w:r>
          </w:p>
        </w:tc>
        <w:tc>
          <w:tcPr>
            <w:tcW w:w="0" w:type="auto"/>
            <w:shd w:val="clear" w:color="auto" w:fill="CCECFF"/>
          </w:tcPr>
          <w:p w:rsidR="008C5001" w:rsidRDefault="008C5001" w:rsidP="008C5001">
            <w:pPr>
              <w:keepNext/>
              <w:jc w:val="center"/>
            </w:pPr>
            <w:r>
              <w:t>(RNEA</w:t>
            </w:r>
          </w:p>
        </w:tc>
        <w:tc>
          <w:tcPr>
            <w:tcW w:w="0" w:type="auto"/>
            <w:shd w:val="clear" w:color="auto" w:fill="CCECFF"/>
          </w:tcPr>
          <w:p w:rsidR="008C5001" w:rsidRDefault="008C5001" w:rsidP="00384017">
            <w:pPr>
              <w:keepNext/>
              <w:jc w:val="center"/>
            </w:pPr>
            <w:r>
              <w:t xml:space="preserve">– </w:t>
            </w:r>
            <w:r w:rsidR="00246A8A">
              <w:t xml:space="preserve">growth in </w:t>
            </w:r>
            <w:r w:rsidR="00384017">
              <w:t>NEA</w:t>
            </w:r>
            <w:r>
              <w:t>)</w:t>
            </w:r>
          </w:p>
        </w:tc>
        <w:tc>
          <w:tcPr>
            <w:tcW w:w="0" w:type="auto"/>
            <w:shd w:val="clear" w:color="auto" w:fill="CCECFF"/>
          </w:tcPr>
          <w:p w:rsidR="008C5001" w:rsidRDefault="008C5001" w:rsidP="00E72446">
            <w:pPr>
              <w:keepNext/>
              <w:jc w:val="center"/>
            </w:pPr>
          </w:p>
        </w:tc>
      </w:tr>
    </w:tbl>
    <w:p w:rsidR="008C401C" w:rsidRDefault="008C401C" w:rsidP="005E29A9">
      <w:pPr>
        <w:pStyle w:val="6pointSpacer"/>
      </w:pPr>
    </w:p>
    <w:p w:rsidR="004B1594" w:rsidRDefault="00336B8C" w:rsidP="00336B8C">
      <w:pPr>
        <w:pStyle w:val="BodyText"/>
        <w:numPr>
          <w:ilvl w:val="0"/>
          <w:numId w:val="17"/>
        </w:numPr>
      </w:pPr>
      <w:r>
        <w:t>It shows two levels at whi</w:t>
      </w:r>
      <w:r w:rsidR="00F963FD">
        <w:t xml:space="preserve">ch performance can be evaluated, </w:t>
      </w:r>
      <w:r>
        <w:t>and how leverage affects performance</w:t>
      </w:r>
      <w:r w:rsidR="00375C0F">
        <w:t>.</w:t>
      </w:r>
    </w:p>
    <w:tbl>
      <w:tblPr>
        <w:tblW w:w="0" w:type="auto"/>
        <w:tblInd w:w="61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1E0" w:firstRow="1" w:lastRow="1" w:firstColumn="1" w:lastColumn="1" w:noHBand="0" w:noVBand="0"/>
      </w:tblPr>
      <w:tblGrid>
        <w:gridCol w:w="2717"/>
        <w:gridCol w:w="3261"/>
        <w:gridCol w:w="2521"/>
      </w:tblGrid>
      <w:tr w:rsidR="004B1594" w:rsidTr="00E776FB">
        <w:trPr>
          <w:cantSplit/>
        </w:trPr>
        <w:tc>
          <w:tcPr>
            <w:tcW w:w="0" w:type="auto"/>
            <w:shd w:val="clear" w:color="auto" w:fill="auto"/>
          </w:tcPr>
          <w:p w:rsidR="004B1594" w:rsidRDefault="004B1594" w:rsidP="00E72446">
            <w:pPr>
              <w:pStyle w:val="TableLeftText"/>
              <w:keepNext/>
            </w:pPr>
          </w:p>
        </w:tc>
        <w:tc>
          <w:tcPr>
            <w:tcW w:w="0" w:type="auto"/>
            <w:shd w:val="clear" w:color="auto" w:fill="CCECFF"/>
          </w:tcPr>
          <w:p w:rsidR="004B1594" w:rsidRDefault="004B1594" w:rsidP="00E72446">
            <w:pPr>
              <w:pStyle w:val="TableLeftText"/>
              <w:keepNext/>
            </w:pPr>
            <w:r>
              <w:t xml:space="preserve">Unleveraged or </w:t>
            </w:r>
            <w:smartTag w:uri="urn:schemas-microsoft-com:office:smarttags" w:element="place">
              <w:smartTag w:uri="urn:schemas-microsoft-com:office:smarttags" w:element="City">
                <w:r>
                  <w:t>Enterprise</w:t>
                </w:r>
              </w:smartTag>
            </w:smartTag>
            <w:r>
              <w:t xml:space="preserve"> level</w:t>
            </w:r>
          </w:p>
        </w:tc>
        <w:tc>
          <w:tcPr>
            <w:tcW w:w="0" w:type="auto"/>
            <w:shd w:val="clear" w:color="auto" w:fill="CCECFF"/>
          </w:tcPr>
          <w:p w:rsidR="004B1594" w:rsidRDefault="004B1594" w:rsidP="00E72446">
            <w:pPr>
              <w:pStyle w:val="TableLeftText"/>
              <w:keepNext/>
            </w:pPr>
            <w:r>
              <w:t>Leveraged or Equity level</w:t>
            </w:r>
          </w:p>
        </w:tc>
      </w:tr>
      <w:tr w:rsidR="004B1594" w:rsidTr="00E776FB">
        <w:trPr>
          <w:cantSplit/>
        </w:trPr>
        <w:tc>
          <w:tcPr>
            <w:tcW w:w="0" w:type="auto"/>
            <w:shd w:val="clear" w:color="auto" w:fill="auto"/>
          </w:tcPr>
          <w:p w:rsidR="004B1594" w:rsidRDefault="004B1594" w:rsidP="00E72446">
            <w:pPr>
              <w:pStyle w:val="TableLeftText"/>
              <w:keepNext/>
            </w:pPr>
            <w:r>
              <w:t>Ratio: Return on investment</w:t>
            </w:r>
          </w:p>
        </w:tc>
        <w:tc>
          <w:tcPr>
            <w:tcW w:w="0" w:type="auto"/>
            <w:shd w:val="clear" w:color="auto" w:fill="auto"/>
          </w:tcPr>
          <w:p w:rsidR="004B1594" w:rsidRDefault="004B1594" w:rsidP="00665938">
            <w:pPr>
              <w:pStyle w:val="TableLeftText"/>
              <w:keepNext/>
            </w:pPr>
            <w:r>
              <w:t>Return on invested capital</w:t>
            </w:r>
            <w:r w:rsidR="00665938">
              <w:t xml:space="preserve"> [</w:t>
            </w:r>
            <w:r>
              <w:t>ROIC</w:t>
            </w:r>
            <w:r w:rsidR="00665938">
              <w:t>]</w:t>
            </w:r>
          </w:p>
        </w:tc>
        <w:tc>
          <w:tcPr>
            <w:tcW w:w="0" w:type="auto"/>
          </w:tcPr>
          <w:p w:rsidR="004B1594" w:rsidRDefault="004B1594" w:rsidP="00665938">
            <w:pPr>
              <w:pStyle w:val="TableLeftText"/>
              <w:keepNext/>
            </w:pPr>
            <w:r>
              <w:t>Return on equity</w:t>
            </w:r>
            <w:r w:rsidR="00665938">
              <w:t xml:space="preserve"> [</w:t>
            </w:r>
            <w:r>
              <w:t>ROE</w:t>
            </w:r>
            <w:r w:rsidR="00665938">
              <w:t>]</w:t>
            </w:r>
          </w:p>
        </w:tc>
      </w:tr>
      <w:tr w:rsidR="004B1594" w:rsidTr="00E776FB">
        <w:trPr>
          <w:cantSplit/>
        </w:trPr>
        <w:tc>
          <w:tcPr>
            <w:tcW w:w="0" w:type="auto"/>
          </w:tcPr>
          <w:p w:rsidR="004B1594" w:rsidRDefault="004B1594" w:rsidP="00E72446">
            <w:pPr>
              <w:pStyle w:val="TableLeftText"/>
              <w:keepNext/>
            </w:pPr>
            <w:r>
              <w:t>Numerator: Profit</w:t>
            </w:r>
          </w:p>
        </w:tc>
        <w:tc>
          <w:tcPr>
            <w:tcW w:w="0" w:type="auto"/>
          </w:tcPr>
          <w:p w:rsidR="004B1594" w:rsidRDefault="004B1594" w:rsidP="00665938">
            <w:pPr>
              <w:pStyle w:val="TableLeftText"/>
              <w:keepNext/>
            </w:pPr>
            <w:r>
              <w:t>Enterprise profit after tax</w:t>
            </w:r>
            <w:r w:rsidR="00665938">
              <w:t xml:space="preserve"> [</w:t>
            </w:r>
            <w:r>
              <w:t>EPAT</w:t>
            </w:r>
            <w:r w:rsidR="00665938">
              <w:t>]</w:t>
            </w:r>
          </w:p>
        </w:tc>
        <w:tc>
          <w:tcPr>
            <w:tcW w:w="0" w:type="auto"/>
          </w:tcPr>
          <w:p w:rsidR="004B1594" w:rsidRDefault="004B1594" w:rsidP="00665938">
            <w:pPr>
              <w:pStyle w:val="TableLeftText"/>
              <w:keepNext/>
            </w:pPr>
            <w:r>
              <w:t>Net income</w:t>
            </w:r>
            <w:r w:rsidR="00665938">
              <w:t xml:space="preserve"> [</w:t>
            </w:r>
            <w:r>
              <w:t>NI</w:t>
            </w:r>
            <w:r w:rsidR="00665938">
              <w:t>]</w:t>
            </w:r>
          </w:p>
        </w:tc>
      </w:tr>
      <w:tr w:rsidR="004B1594" w:rsidTr="00E776FB">
        <w:trPr>
          <w:cantSplit/>
        </w:trPr>
        <w:tc>
          <w:tcPr>
            <w:tcW w:w="0" w:type="auto"/>
          </w:tcPr>
          <w:p w:rsidR="004B1594" w:rsidRDefault="004B1594" w:rsidP="00E72446">
            <w:pPr>
              <w:pStyle w:val="TableLeftText"/>
            </w:pPr>
            <w:r>
              <w:t>Denominator: Investment</w:t>
            </w:r>
          </w:p>
        </w:tc>
        <w:tc>
          <w:tcPr>
            <w:tcW w:w="0" w:type="auto"/>
          </w:tcPr>
          <w:p w:rsidR="004B1594" w:rsidRDefault="004B1594" w:rsidP="00E72446">
            <w:pPr>
              <w:pStyle w:val="TableLeftText"/>
            </w:pPr>
            <w:r>
              <w:t>Enterprise or invested capital</w:t>
            </w:r>
            <w:r w:rsidR="00665938">
              <w:t xml:space="preserve"> [IC]</w:t>
            </w:r>
          </w:p>
        </w:tc>
        <w:tc>
          <w:tcPr>
            <w:tcW w:w="0" w:type="auto"/>
          </w:tcPr>
          <w:p w:rsidR="004B1594" w:rsidRDefault="004B1594" w:rsidP="00E72446">
            <w:pPr>
              <w:pStyle w:val="TableLeftText"/>
            </w:pPr>
            <w:r>
              <w:t>Equity</w:t>
            </w:r>
            <w:r w:rsidR="00665938">
              <w:t xml:space="preserve"> [EQ]</w:t>
            </w:r>
          </w:p>
        </w:tc>
      </w:tr>
    </w:tbl>
    <w:p w:rsidR="004B1594" w:rsidRDefault="004B1594" w:rsidP="004B1594"/>
    <w:p w:rsidR="004B1594" w:rsidRDefault="004B1594" w:rsidP="004B1594">
      <w:pPr>
        <w:pStyle w:val="Left1"/>
      </w:pPr>
      <w:r>
        <w:t xml:space="preserve">One moves to </w:t>
      </w:r>
      <w:r w:rsidRPr="00E64929">
        <w:t xml:space="preserve">ROE </w:t>
      </w:r>
      <w:r>
        <w:t xml:space="preserve">from ROIC by incorporating the effects of a firm’s financial policy as follows: </w:t>
      </w:r>
    </w:p>
    <w:tbl>
      <w:tblPr>
        <w:tblW w:w="0" w:type="auto"/>
        <w:tblInd w:w="619" w:type="dxa"/>
        <w:shd w:val="clear" w:color="auto" w:fill="CCECFF"/>
        <w:tblLook w:val="01E0" w:firstRow="1" w:lastRow="1" w:firstColumn="1" w:lastColumn="1" w:noHBand="0" w:noVBand="0"/>
      </w:tblPr>
      <w:tblGrid>
        <w:gridCol w:w="5609"/>
      </w:tblGrid>
      <w:tr w:rsidR="004B1594" w:rsidTr="00E72446">
        <w:trPr>
          <w:cantSplit/>
          <w:trHeight w:val="253"/>
        </w:trPr>
        <w:tc>
          <w:tcPr>
            <w:tcW w:w="0" w:type="auto"/>
            <w:vMerge w:val="restart"/>
            <w:shd w:val="clear" w:color="auto" w:fill="CCECFF"/>
            <w:vAlign w:val="center"/>
          </w:tcPr>
          <w:p w:rsidR="004B1594" w:rsidRPr="00FE337A" w:rsidRDefault="004B1594" w:rsidP="00983161">
            <w:pPr>
              <w:keepNext/>
              <w:jc w:val="center"/>
            </w:pPr>
            <w:r w:rsidRPr="00352E65">
              <w:t>R</w:t>
            </w:r>
            <w:r w:rsidR="00983161">
              <w:t>OE</w:t>
            </w:r>
            <w:r>
              <w:t xml:space="preserve"> = ROIC + (ROIC – after-tax borrowing rate) </w:t>
            </w:r>
            <w:r w:rsidRPr="00836974">
              <w:rPr>
                <w:rFonts w:ascii="Arial" w:hAnsi="Arial" w:cs="Arial"/>
              </w:rPr>
              <w:t>x</w:t>
            </w:r>
            <w:r>
              <w:t xml:space="preserve"> leverage</w:t>
            </w:r>
          </w:p>
        </w:tc>
      </w:tr>
      <w:tr w:rsidR="004B1594" w:rsidTr="00E72446">
        <w:trPr>
          <w:cantSplit/>
          <w:trHeight w:val="253"/>
        </w:trPr>
        <w:tc>
          <w:tcPr>
            <w:tcW w:w="0" w:type="auto"/>
            <w:vMerge/>
            <w:shd w:val="clear" w:color="auto" w:fill="CCECFF"/>
            <w:vAlign w:val="center"/>
          </w:tcPr>
          <w:p w:rsidR="004B1594" w:rsidRDefault="004B1594" w:rsidP="00E72446">
            <w:pPr>
              <w:keepNext/>
              <w:jc w:val="center"/>
            </w:pPr>
          </w:p>
        </w:tc>
      </w:tr>
    </w:tbl>
    <w:p w:rsidR="004B1594" w:rsidRDefault="004B1594" w:rsidP="004B1594">
      <w:pPr>
        <w:pStyle w:val="6pointSpacer"/>
      </w:pPr>
    </w:p>
    <w:p w:rsidR="004B1594" w:rsidRDefault="004B1594" w:rsidP="004B1594">
      <w:pPr>
        <w:pStyle w:val="Left1"/>
      </w:pPr>
      <w:r>
        <w:t xml:space="preserve">After-tax borrowing rate = net financial expense after tax/Net financial liabilities </w:t>
      </w:r>
    </w:p>
    <w:p w:rsidR="00B21537" w:rsidRPr="00B21537" w:rsidRDefault="004B1594" w:rsidP="00B21537">
      <w:pPr>
        <w:pStyle w:val="Left1"/>
      </w:pPr>
      <w:r>
        <w:t xml:space="preserve">Leverage = net </w:t>
      </w:r>
      <w:r w:rsidRPr="002D3793">
        <w:t>financial liabilities/equity</w:t>
      </w:r>
      <w:r>
        <w:t>.</w:t>
      </w:r>
    </w:p>
    <w:p w:rsidR="009E4CA1" w:rsidRDefault="009E4CA1" w:rsidP="009C4D2E">
      <w:pPr>
        <w:pStyle w:val="Heading2"/>
      </w:pPr>
      <w:r>
        <w:t>Terminology</w:t>
      </w:r>
    </w:p>
    <w:tbl>
      <w:tblPr>
        <w:tblW w:w="0" w:type="auto"/>
        <w:tblInd w:w="1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1E0" w:firstRow="1" w:lastRow="1" w:firstColumn="1" w:lastColumn="1" w:noHBand="0" w:noVBand="0"/>
      </w:tblPr>
      <w:tblGrid>
        <w:gridCol w:w="3739"/>
        <w:gridCol w:w="4458"/>
      </w:tblGrid>
      <w:tr w:rsidR="009C4D2E" w:rsidTr="00E776FB">
        <w:trPr>
          <w:cantSplit/>
        </w:trPr>
        <w:tc>
          <w:tcPr>
            <w:tcW w:w="0" w:type="auto"/>
            <w:shd w:val="clear" w:color="auto" w:fill="CCECFF"/>
          </w:tcPr>
          <w:p w:rsidR="009C4D2E" w:rsidRDefault="009C4D2E" w:rsidP="00B2385B">
            <w:pPr>
              <w:pStyle w:val="TableLeftText"/>
              <w:keepNext/>
            </w:pPr>
            <w:r>
              <w:t>Ours</w:t>
            </w:r>
          </w:p>
        </w:tc>
        <w:tc>
          <w:tcPr>
            <w:tcW w:w="0" w:type="auto"/>
            <w:shd w:val="clear" w:color="auto" w:fill="CCECFF"/>
          </w:tcPr>
          <w:p w:rsidR="009C4D2E" w:rsidRDefault="000479CF" w:rsidP="00B2385B">
            <w:pPr>
              <w:pStyle w:val="TableLeftText"/>
              <w:keepNext/>
            </w:pPr>
            <w:r>
              <w:t>Alternatives used in p</w:t>
            </w:r>
            <w:r w:rsidR="005F3797">
              <w:t>ractice</w:t>
            </w:r>
          </w:p>
        </w:tc>
      </w:tr>
      <w:tr w:rsidR="009C4D2E" w:rsidTr="00E776FB">
        <w:trPr>
          <w:cantSplit/>
        </w:trPr>
        <w:tc>
          <w:tcPr>
            <w:tcW w:w="0" w:type="auto"/>
          </w:tcPr>
          <w:p w:rsidR="009C4D2E" w:rsidRDefault="009C4D2E" w:rsidP="00691CA5">
            <w:pPr>
              <w:pStyle w:val="TableLeftText"/>
              <w:keepNext/>
            </w:pPr>
            <w:r>
              <w:t>Enterprise</w:t>
            </w:r>
            <w:r w:rsidR="00691CA5">
              <w:t xml:space="preserve"> profit after tax [</w:t>
            </w:r>
            <w:r>
              <w:t>EPAT</w:t>
            </w:r>
            <w:r w:rsidR="00691CA5">
              <w:t>]</w:t>
            </w:r>
          </w:p>
        </w:tc>
        <w:tc>
          <w:tcPr>
            <w:tcW w:w="0" w:type="auto"/>
          </w:tcPr>
          <w:p w:rsidR="00EE400A" w:rsidRDefault="00691CA5" w:rsidP="00B2385B">
            <w:pPr>
              <w:pStyle w:val="TableLeftText"/>
              <w:keepNext/>
            </w:pPr>
            <w:r>
              <w:t>Net operating profit after tax [</w:t>
            </w:r>
            <w:r w:rsidR="009C4D2E">
              <w:t>NOPAT</w:t>
            </w:r>
            <w:r>
              <w:t>]</w:t>
            </w:r>
          </w:p>
          <w:p w:rsidR="009C4D2E" w:rsidRDefault="009C4D2E" w:rsidP="00B2385B">
            <w:pPr>
              <w:pStyle w:val="TableLeftText"/>
              <w:keepNext/>
            </w:pPr>
            <w:r>
              <w:t>Earnings before interest but after taxes</w:t>
            </w:r>
            <w:r w:rsidR="00691CA5">
              <w:t xml:space="preserve"> [</w:t>
            </w:r>
            <w:r>
              <w:t>EBIAT</w:t>
            </w:r>
            <w:r w:rsidR="00691CA5">
              <w:t>]</w:t>
            </w:r>
          </w:p>
          <w:p w:rsidR="009C4D2E" w:rsidRDefault="009C4D2E" w:rsidP="00B2385B">
            <w:pPr>
              <w:pStyle w:val="TableLeftText"/>
              <w:keepNext/>
            </w:pPr>
            <w:r>
              <w:t xml:space="preserve">Unleveraged </w:t>
            </w:r>
            <w:r w:rsidR="0015180D">
              <w:t xml:space="preserve">NI, </w:t>
            </w:r>
            <w:r>
              <w:t>prefinancing NI</w:t>
            </w:r>
          </w:p>
        </w:tc>
      </w:tr>
      <w:tr w:rsidR="009C4D2E" w:rsidTr="00E776FB">
        <w:trPr>
          <w:cantSplit/>
        </w:trPr>
        <w:tc>
          <w:tcPr>
            <w:tcW w:w="0" w:type="auto"/>
          </w:tcPr>
          <w:p w:rsidR="009C4D2E" w:rsidRDefault="009C4D2E" w:rsidP="00B2385B">
            <w:pPr>
              <w:pStyle w:val="TableLeftText"/>
              <w:keepNext/>
            </w:pPr>
            <w:r>
              <w:t>Enterprise assets</w:t>
            </w:r>
            <w:r w:rsidR="00691CA5">
              <w:t xml:space="preserve"> [</w:t>
            </w:r>
            <w:r w:rsidR="00BD7F7D">
              <w:t>EA</w:t>
            </w:r>
            <w:r w:rsidR="00691CA5">
              <w:t>]</w:t>
            </w:r>
          </w:p>
        </w:tc>
        <w:tc>
          <w:tcPr>
            <w:tcW w:w="0" w:type="auto"/>
          </w:tcPr>
          <w:p w:rsidR="009C4D2E" w:rsidRDefault="009C4D2E" w:rsidP="00691CA5">
            <w:pPr>
              <w:pStyle w:val="TableLeftText"/>
              <w:keepNext/>
            </w:pPr>
            <w:r>
              <w:t>Operating assets</w:t>
            </w:r>
            <w:r w:rsidR="00E73144">
              <w:t xml:space="preserve"> </w:t>
            </w:r>
            <w:r w:rsidR="00691CA5">
              <w:t>[</w:t>
            </w:r>
            <w:r w:rsidR="00E73144">
              <w:t>OA</w:t>
            </w:r>
            <w:r w:rsidR="00691CA5">
              <w:t>]</w:t>
            </w:r>
          </w:p>
        </w:tc>
      </w:tr>
      <w:tr w:rsidR="009C4D2E" w:rsidTr="00E776FB">
        <w:trPr>
          <w:cantSplit/>
        </w:trPr>
        <w:tc>
          <w:tcPr>
            <w:tcW w:w="0" w:type="auto"/>
          </w:tcPr>
          <w:p w:rsidR="009C4D2E" w:rsidRDefault="009C4D2E" w:rsidP="00B2385B">
            <w:pPr>
              <w:pStyle w:val="TableLeftText"/>
              <w:keepNext/>
            </w:pPr>
            <w:smartTag w:uri="urn:schemas-microsoft-com:office:smarttags" w:element="City">
              <w:smartTag w:uri="urn:schemas-microsoft-com:office:smarttags" w:element="place">
                <w:r>
                  <w:t>Enterprise</w:t>
                </w:r>
              </w:smartTag>
            </w:smartTag>
            <w:r>
              <w:t xml:space="preserve"> liabilities</w:t>
            </w:r>
            <w:r w:rsidR="00BD7F7D">
              <w:t xml:space="preserve"> [EL]</w:t>
            </w:r>
          </w:p>
        </w:tc>
        <w:tc>
          <w:tcPr>
            <w:tcW w:w="0" w:type="auto"/>
          </w:tcPr>
          <w:p w:rsidR="009C4D2E" w:rsidRDefault="009C4D2E" w:rsidP="00691CA5">
            <w:pPr>
              <w:pStyle w:val="TableLeftText"/>
              <w:keepNext/>
            </w:pPr>
            <w:r>
              <w:t>Operating liabilities</w:t>
            </w:r>
            <w:r w:rsidR="00691CA5">
              <w:t xml:space="preserve"> [</w:t>
            </w:r>
            <w:r w:rsidR="00E73144">
              <w:t>OL</w:t>
            </w:r>
            <w:r w:rsidR="00691CA5">
              <w:t>]</w:t>
            </w:r>
          </w:p>
        </w:tc>
      </w:tr>
      <w:tr w:rsidR="009C4D2E" w:rsidTr="00E776FB">
        <w:trPr>
          <w:cantSplit/>
        </w:trPr>
        <w:tc>
          <w:tcPr>
            <w:tcW w:w="0" w:type="auto"/>
          </w:tcPr>
          <w:p w:rsidR="009C4D2E" w:rsidRDefault="009C4D2E" w:rsidP="00B2385B">
            <w:pPr>
              <w:pStyle w:val="TableLeftText"/>
              <w:keepNext/>
            </w:pPr>
            <w:r>
              <w:t>Net enterprise assets</w:t>
            </w:r>
            <w:r w:rsidR="00BD7F7D">
              <w:t xml:space="preserve"> [NEA = EA – EL]</w:t>
            </w:r>
          </w:p>
        </w:tc>
        <w:tc>
          <w:tcPr>
            <w:tcW w:w="0" w:type="auto"/>
          </w:tcPr>
          <w:p w:rsidR="009C4D2E" w:rsidRDefault="00691CA5" w:rsidP="00B2385B">
            <w:pPr>
              <w:pStyle w:val="TableLeftText"/>
              <w:keepNext/>
            </w:pPr>
            <w:r>
              <w:t>Net operating assets [</w:t>
            </w:r>
            <w:r w:rsidR="009C4D2E">
              <w:t>NOA</w:t>
            </w:r>
            <w:r w:rsidR="00E73144">
              <w:t xml:space="preserve"> = OA </w:t>
            </w:r>
            <w:r>
              <w:t>–</w:t>
            </w:r>
            <w:r w:rsidR="00E73144">
              <w:t xml:space="preserve"> OL</w:t>
            </w:r>
            <w:r>
              <w:t>]</w:t>
            </w:r>
          </w:p>
        </w:tc>
      </w:tr>
      <w:tr w:rsidR="009C4D2E" w:rsidTr="00E776FB">
        <w:trPr>
          <w:cantSplit/>
        </w:trPr>
        <w:tc>
          <w:tcPr>
            <w:tcW w:w="0" w:type="auto"/>
          </w:tcPr>
          <w:p w:rsidR="00BD7F7D" w:rsidRDefault="00E56A74" w:rsidP="00B2385B">
            <w:pPr>
              <w:pStyle w:val="TableLeftText"/>
              <w:keepNext/>
            </w:pPr>
            <w:smartTag w:uri="urn:schemas-microsoft-com:office:smarttags" w:element="City">
              <w:smartTag w:uri="urn:schemas-microsoft-com:office:smarttags" w:element="place">
                <w:r>
                  <w:t>Enterprise</w:t>
                </w:r>
              </w:smartTag>
            </w:smartTag>
            <w:r>
              <w:t xml:space="preserve"> cash flow</w:t>
            </w:r>
            <w:r w:rsidR="006E7A39">
              <w:t>s</w:t>
            </w:r>
          </w:p>
          <w:p w:rsidR="009C4D2E" w:rsidRDefault="00BD7F7D" w:rsidP="00B2385B">
            <w:pPr>
              <w:pStyle w:val="TableLeftText"/>
              <w:keepNext/>
            </w:pPr>
            <w:r>
              <w:t>[ECF = EPAT – Change in NEA]</w:t>
            </w:r>
          </w:p>
        </w:tc>
        <w:tc>
          <w:tcPr>
            <w:tcW w:w="0" w:type="auto"/>
          </w:tcPr>
          <w:p w:rsidR="009C4D2E" w:rsidRDefault="00D47FEA" w:rsidP="00B2385B">
            <w:pPr>
              <w:pStyle w:val="TableLeftText"/>
              <w:keepNext/>
            </w:pPr>
            <w:r>
              <w:t>Free cash flows to the firm</w:t>
            </w:r>
            <w:r w:rsidR="00691CA5">
              <w:t xml:space="preserve"> [</w:t>
            </w:r>
            <w:r w:rsidR="00ED70C9">
              <w:t>F</w:t>
            </w:r>
            <w:r w:rsidR="00BD7F7D">
              <w:t>r</w:t>
            </w:r>
            <w:r w:rsidR="00ED70C9">
              <w:t>CF</w:t>
            </w:r>
            <w:r w:rsidR="000479CF">
              <w:t xml:space="preserve"> or FCF</w:t>
            </w:r>
            <w:r w:rsidR="00691CA5">
              <w:t>]</w:t>
            </w:r>
          </w:p>
          <w:p w:rsidR="00ED70C9" w:rsidRDefault="00ED70C9" w:rsidP="00B2385B">
            <w:pPr>
              <w:pStyle w:val="TableLeftText"/>
              <w:keepNext/>
            </w:pPr>
            <w:r>
              <w:t>Unlevered cash flows</w:t>
            </w:r>
          </w:p>
        </w:tc>
      </w:tr>
      <w:tr w:rsidR="00CC0B7F" w:rsidTr="00E776FB">
        <w:trPr>
          <w:cantSplit/>
        </w:trPr>
        <w:tc>
          <w:tcPr>
            <w:tcW w:w="0" w:type="auto"/>
          </w:tcPr>
          <w:p w:rsidR="00CC0B7F" w:rsidRDefault="00CC0B7F" w:rsidP="00B2385B">
            <w:pPr>
              <w:pStyle w:val="TableLeftText"/>
              <w:keepNext/>
            </w:pPr>
            <w:r>
              <w:t>Financial assets [FA]</w:t>
            </w:r>
          </w:p>
        </w:tc>
        <w:tc>
          <w:tcPr>
            <w:tcW w:w="0" w:type="auto"/>
          </w:tcPr>
          <w:p w:rsidR="00CC0B7F" w:rsidRDefault="00CC0B7F" w:rsidP="00671D50">
            <w:pPr>
              <w:pStyle w:val="TableLeftText"/>
              <w:keepNext/>
            </w:pPr>
            <w:r>
              <w:t>“Cash”</w:t>
            </w:r>
            <w:r w:rsidR="00C6295E">
              <w:t xml:space="preserve"> or cash and </w:t>
            </w:r>
            <w:r w:rsidR="00671D50">
              <w:t>marketable securities</w:t>
            </w:r>
          </w:p>
        </w:tc>
      </w:tr>
      <w:tr w:rsidR="00CC0B7F" w:rsidTr="00E776FB">
        <w:trPr>
          <w:cantSplit/>
        </w:trPr>
        <w:tc>
          <w:tcPr>
            <w:tcW w:w="0" w:type="auto"/>
          </w:tcPr>
          <w:p w:rsidR="00CC0B7F" w:rsidRDefault="00CC0B7F" w:rsidP="00B2385B">
            <w:pPr>
              <w:pStyle w:val="TableLeftText"/>
              <w:keepNext/>
            </w:pPr>
            <w:r>
              <w:t>Financial liabilities [FL]</w:t>
            </w:r>
          </w:p>
        </w:tc>
        <w:tc>
          <w:tcPr>
            <w:tcW w:w="0" w:type="auto"/>
          </w:tcPr>
          <w:p w:rsidR="00CC0B7F" w:rsidRDefault="00CC0B7F" w:rsidP="00B2385B">
            <w:pPr>
              <w:pStyle w:val="TableLeftText"/>
              <w:keepNext/>
            </w:pPr>
            <w:r>
              <w:t>Debt</w:t>
            </w:r>
          </w:p>
        </w:tc>
      </w:tr>
      <w:tr w:rsidR="00CC0B7F" w:rsidTr="00E776FB">
        <w:trPr>
          <w:cantSplit/>
        </w:trPr>
        <w:tc>
          <w:tcPr>
            <w:tcW w:w="0" w:type="auto"/>
          </w:tcPr>
          <w:p w:rsidR="00CC0B7F" w:rsidRDefault="00CC0B7F" w:rsidP="00691CA5">
            <w:pPr>
              <w:pStyle w:val="TableLeftText"/>
            </w:pPr>
            <w:r>
              <w:t>Net financial liabilities [NFL = FL- FA</w:t>
            </w:r>
            <w:r w:rsidR="00691CA5">
              <w:t>]</w:t>
            </w:r>
          </w:p>
        </w:tc>
        <w:tc>
          <w:tcPr>
            <w:tcW w:w="0" w:type="auto"/>
          </w:tcPr>
          <w:p w:rsidR="00CC0B7F" w:rsidRDefault="00CC0B7F" w:rsidP="00B2385B">
            <w:pPr>
              <w:pStyle w:val="TableLeftText"/>
            </w:pPr>
            <w:r>
              <w:t>Net debt = Debt – “Cash”</w:t>
            </w:r>
          </w:p>
        </w:tc>
      </w:tr>
    </w:tbl>
    <w:p w:rsidR="00ED70C9" w:rsidRDefault="00ED70C9" w:rsidP="00ED70C9">
      <w:pPr>
        <w:pStyle w:val="6pointSpacer"/>
      </w:pPr>
    </w:p>
    <w:p w:rsidR="009E4CA1" w:rsidRDefault="00ED70C9" w:rsidP="00D207A0">
      <w:pPr>
        <w:pStyle w:val="BodyText"/>
      </w:pPr>
      <w:smartTag w:uri="urn:schemas-microsoft-com:office:smarttags" w:element="City">
        <w:smartTag w:uri="urn:schemas-microsoft-com:office:smarttags" w:element="place">
          <w:r>
            <w:t>E</w:t>
          </w:r>
          <w:r w:rsidR="00D47FEA" w:rsidRPr="00D47FEA">
            <w:t>nterprise</w:t>
          </w:r>
        </w:smartTag>
      </w:smartTag>
      <w:r w:rsidR="00D47FEA" w:rsidRPr="00D47FEA">
        <w:t xml:space="preserve"> activ</w:t>
      </w:r>
      <w:r>
        <w:t>ities are often referred to as operating</w:t>
      </w:r>
      <w:r w:rsidR="00D47FEA" w:rsidRPr="00D47FEA">
        <w:t xml:space="preserve"> activities. We </w:t>
      </w:r>
      <w:r w:rsidR="00AC66AE">
        <w:t>do not use</w:t>
      </w:r>
      <w:r w:rsidR="00B902EA">
        <w:t xml:space="preserve"> the word</w:t>
      </w:r>
      <w:r w:rsidR="009C64B3">
        <w:t xml:space="preserve"> “operating” </w:t>
      </w:r>
      <w:r w:rsidR="00D47FEA" w:rsidRPr="00D47FEA">
        <w:t xml:space="preserve">because there is </w:t>
      </w:r>
      <w:r w:rsidR="005E3365">
        <w:t xml:space="preserve">ambiguity about </w:t>
      </w:r>
      <w:r w:rsidR="00AC66AE">
        <w:t>its precise meaning.</w:t>
      </w:r>
      <w:r w:rsidR="00515F08">
        <w:t xml:space="preserve"> In particular, operating cash flows differ </w:t>
      </w:r>
      <w:r w:rsidR="0089428B">
        <w:t xml:space="preserve">from </w:t>
      </w:r>
      <w:r w:rsidR="00515F08">
        <w:t>enterprise cash flows.</w:t>
      </w:r>
    </w:p>
    <w:p w:rsidR="00864705" w:rsidRDefault="006353CF">
      <w:pPr>
        <w:pStyle w:val="Heading2"/>
      </w:pPr>
      <w:r>
        <w:t>E</w:t>
      </w:r>
      <w:r w:rsidR="00864705">
        <w:t xml:space="preserve">nterprise </w:t>
      </w:r>
      <w:r w:rsidR="00BF6187">
        <w:t>v</w:t>
      </w:r>
      <w:r>
        <w:t>s.</w:t>
      </w:r>
      <w:r w:rsidR="00BF6187">
        <w:t xml:space="preserve"> financial activities</w:t>
      </w:r>
      <w:r>
        <w:t>: Motivation</w:t>
      </w:r>
    </w:p>
    <w:p w:rsidR="00A41CE2" w:rsidRDefault="00A41CE2" w:rsidP="00D207A0">
      <w:pPr>
        <w:pStyle w:val="BodyText"/>
      </w:pPr>
      <w:r>
        <w:t>Enterprise activities inv</w:t>
      </w:r>
      <w:r w:rsidR="00AC083B">
        <w:t xml:space="preserve">olve activities dealing with customers, </w:t>
      </w:r>
      <w:r w:rsidR="00342A41">
        <w:t>vendors</w:t>
      </w:r>
      <w:r w:rsidR="00AC083B">
        <w:t xml:space="preserve">, </w:t>
      </w:r>
      <w:r w:rsidR="00147B8E">
        <w:t xml:space="preserve">and </w:t>
      </w:r>
      <w:r w:rsidR="00AC083B">
        <w:t xml:space="preserve">employees.  </w:t>
      </w:r>
      <w:r>
        <w:t xml:space="preserve">Financial activities involve </w:t>
      </w:r>
      <w:r w:rsidR="00AC083B">
        <w:t xml:space="preserve">activities dealing with lenders, shareholders, </w:t>
      </w:r>
      <w:r>
        <w:t>and invest</w:t>
      </w:r>
      <w:r w:rsidR="00782592">
        <w:t xml:space="preserve">ments </w:t>
      </w:r>
      <w:r w:rsidR="00E75652">
        <w:t>in marketable securities.</w:t>
      </w:r>
    </w:p>
    <w:p w:rsidR="00B96E02" w:rsidRDefault="00B96E02" w:rsidP="00D207A0">
      <w:pPr>
        <w:pStyle w:val="BodyText"/>
      </w:pPr>
      <w:r>
        <w:t>The following t</w:t>
      </w:r>
      <w:r w:rsidR="00A41CE2">
        <w:t xml:space="preserve">hree </w:t>
      </w:r>
      <w:r w:rsidR="002C7BCC">
        <w:t>closely connected reasons motivate split</w:t>
      </w:r>
      <w:r w:rsidR="00D32D49">
        <w:t xml:space="preserve">ting </w:t>
      </w:r>
      <w:r w:rsidR="002C7BCC">
        <w:t xml:space="preserve">a firm's activities into enterprise </w:t>
      </w:r>
      <w:r w:rsidR="009922DB">
        <w:t>and financial activities:</w:t>
      </w:r>
    </w:p>
    <w:p w:rsidR="00574859" w:rsidRDefault="00907D06" w:rsidP="00D207A0">
      <w:pPr>
        <w:pStyle w:val="BodyText"/>
        <w:numPr>
          <w:ilvl w:val="0"/>
          <w:numId w:val="18"/>
        </w:numPr>
      </w:pPr>
      <w:r>
        <w:t>E</w:t>
      </w:r>
      <w:r w:rsidR="00574859" w:rsidRPr="00574859">
        <w:t>nterprise activities</w:t>
      </w:r>
      <w:r w:rsidR="00310F54">
        <w:t xml:space="preserve"> define a firm</w:t>
      </w:r>
      <w:r w:rsidR="00AC66AE">
        <w:t>. The question "</w:t>
      </w:r>
      <w:r w:rsidR="00AC66AE" w:rsidRPr="00574859">
        <w:t xml:space="preserve">What does </w:t>
      </w:r>
      <w:r w:rsidR="00205CA3">
        <w:t>firm</w:t>
      </w:r>
      <w:r w:rsidR="00AC66AE" w:rsidRPr="00574859">
        <w:t xml:space="preserve"> XYZ actually do?" is answer</w:t>
      </w:r>
      <w:r w:rsidR="00AC66AE">
        <w:t>e</w:t>
      </w:r>
      <w:r w:rsidR="00AC66AE" w:rsidRPr="00574859">
        <w:t xml:space="preserve">d </w:t>
      </w:r>
      <w:r w:rsidR="00AC66AE">
        <w:t xml:space="preserve">by a description of its </w:t>
      </w:r>
      <w:r w:rsidR="00AC66AE" w:rsidRPr="00574859">
        <w:t>enterprise activities.</w:t>
      </w:r>
      <w:r w:rsidR="00AC66AE">
        <w:t xml:space="preserve"> </w:t>
      </w:r>
      <w:r w:rsidR="00D860A9">
        <w:t xml:space="preserve">Financing activities enable enterprise activities </w:t>
      </w:r>
      <w:r w:rsidR="00574859">
        <w:t>but they are not the main activities. The question "How is the company doing?" must addres</w:t>
      </w:r>
      <w:r w:rsidR="00DB40F3">
        <w:t>s the outcome of enterprise activities before addressing the outcome of financing activities.</w:t>
      </w:r>
    </w:p>
    <w:p w:rsidR="00D32D49" w:rsidRDefault="00DB40F3" w:rsidP="00DB40F3">
      <w:pPr>
        <w:pStyle w:val="BodyText"/>
        <w:numPr>
          <w:ilvl w:val="0"/>
          <w:numId w:val="18"/>
        </w:numPr>
      </w:pPr>
      <w:r w:rsidRPr="00DB40F3">
        <w:t>Enterprise activities are pe</w:t>
      </w:r>
      <w:r>
        <w:t>r</w:t>
      </w:r>
      <w:r w:rsidRPr="00DB40F3">
        <w:t>ceived as being positive NPV activities -- companies hav</w:t>
      </w:r>
      <w:r w:rsidR="00A255E0">
        <w:t>e an</w:t>
      </w:r>
      <w:r w:rsidRPr="00DB40F3">
        <w:t xml:space="preserve"> "edge" in their </w:t>
      </w:r>
      <w:r w:rsidR="00BC6E86">
        <w:t>product/service</w:t>
      </w:r>
      <w:r w:rsidR="00FD2B82">
        <w:t xml:space="preserve"> offerings</w:t>
      </w:r>
      <w:r w:rsidR="00BC6E86">
        <w:t xml:space="preserve"> in markets that are less competitive than financial markets. Since it is hard for a firm to have an edge in competitive financial markets, </w:t>
      </w:r>
      <w:r w:rsidRPr="00DB40F3">
        <w:t>financial activities are generally zero NPV activities.</w:t>
      </w:r>
      <w:r w:rsidR="00BC6E86">
        <w:t xml:space="preserve"> </w:t>
      </w:r>
      <w:r w:rsidRPr="00DB40F3">
        <w:t xml:space="preserve">It follows that valuation centers on </w:t>
      </w:r>
      <w:r>
        <w:t>computing enterprise value as the present value of projected enterprise cash flows</w:t>
      </w:r>
      <w:r w:rsidRPr="00DB40F3">
        <w:t xml:space="preserve">. </w:t>
      </w:r>
      <w:r>
        <w:t>One then subtracts the market value of net financial liabilities</w:t>
      </w:r>
      <w:r w:rsidRPr="00DB40F3">
        <w:t>.</w:t>
      </w:r>
      <w:r>
        <w:t xml:space="preserve"> In many cases, the market values of net financial liabilities are close to their book values.</w:t>
      </w:r>
    </w:p>
    <w:p w:rsidR="00B96E02" w:rsidRDefault="00B96E02" w:rsidP="00D207A0">
      <w:pPr>
        <w:pStyle w:val="BodyText"/>
        <w:numPr>
          <w:ilvl w:val="0"/>
          <w:numId w:val="18"/>
        </w:numPr>
      </w:pPr>
      <w:r>
        <w:t>E</w:t>
      </w:r>
      <w:r w:rsidR="000F4647">
        <w:t xml:space="preserve">nterprise assets and liabilities are likely to </w:t>
      </w:r>
      <w:r w:rsidR="006C0BEB">
        <w:t>be driven by</w:t>
      </w:r>
      <w:r w:rsidR="000F4647">
        <w:t xml:space="preserve"> sales</w:t>
      </w:r>
      <w:r w:rsidR="000F16EF">
        <w:t xml:space="preserve">. </w:t>
      </w:r>
      <w:r w:rsidR="000F16EF" w:rsidRPr="000F16EF">
        <w:t xml:space="preserve">In contrast, the </w:t>
      </w:r>
      <w:r w:rsidR="006B4C2E">
        <w:t>level</w:t>
      </w:r>
      <w:r w:rsidR="000F16EF" w:rsidRPr="000F16EF">
        <w:t xml:space="preserve"> of financial assets and </w:t>
      </w:r>
      <w:r w:rsidR="000F16EF">
        <w:t>liabilities</w:t>
      </w:r>
      <w:r w:rsidR="000F16EF" w:rsidRPr="000F16EF">
        <w:t xml:space="preserve"> depend on a firm's financial policy</w:t>
      </w:r>
      <w:r w:rsidR="000F16EF">
        <w:t>,</w:t>
      </w:r>
      <w:r w:rsidR="000F16EF" w:rsidRPr="000F16EF">
        <w:t xml:space="preserve"> which </w:t>
      </w:r>
      <w:r w:rsidR="000F16EF">
        <w:t xml:space="preserve">is not directly related to sales. For example, </w:t>
      </w:r>
      <w:r w:rsidR="000F16EF" w:rsidRPr="000F16EF">
        <w:t>a</w:t>
      </w:r>
      <w:r w:rsidR="000F16EF">
        <w:t xml:space="preserve"> f</w:t>
      </w:r>
      <w:r w:rsidR="000F16EF" w:rsidRPr="000F16EF">
        <w:t xml:space="preserve">irm may </w:t>
      </w:r>
      <w:r w:rsidR="000F16EF">
        <w:t>finance its initial growth</w:t>
      </w:r>
      <w:r w:rsidR="000F16EF" w:rsidRPr="000F16EF">
        <w:t xml:space="preserve"> with </w:t>
      </w:r>
      <w:r w:rsidR="00C91211">
        <w:t>a mix of debt and equity. As the growth slows down and it generates cash flows, it can pay down debt.</w:t>
      </w:r>
    </w:p>
    <w:p w:rsidR="00D56ED5" w:rsidRPr="00D32D49" w:rsidRDefault="00D56ED5" w:rsidP="00D32D49">
      <w:pPr>
        <w:pStyle w:val="BodyText"/>
      </w:pPr>
      <w:r>
        <w:t>The spreadsheet defines financial assets and financial liabilities narrowly. Only cash, marketable securities, amounts owed to financial institutions (loans payable) and financial markets (bonds payable) are classified as financial items. One may argue that receivables and/or payables should also be treated as financial item</w:t>
      </w:r>
      <w:r w:rsidR="00676E12">
        <w:t>s</w:t>
      </w:r>
      <w:r>
        <w:t xml:space="preserve"> if they are sufficiently close to the more "pure" financial/assets liabilities. In practice, this is rarely done, so the spreadsheet provides this option only implicitly via the category "other".</w:t>
      </w:r>
    </w:p>
    <w:p w:rsidR="00434C91" w:rsidRDefault="0022194B" w:rsidP="00E72446">
      <w:pPr>
        <w:pStyle w:val="Heading3"/>
      </w:pPr>
      <w:r>
        <w:t>C</w:t>
      </w:r>
      <w:r w:rsidR="00527D73">
        <w:t>lassif</w:t>
      </w:r>
      <w:r w:rsidR="003E2A34">
        <w:t>ying enterprise and financial items</w:t>
      </w:r>
      <w:r>
        <w:t>: Consistency requirements</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1E0" w:firstRow="1" w:lastRow="1" w:firstColumn="1" w:lastColumn="1" w:noHBand="0" w:noVBand="0"/>
      </w:tblPr>
      <w:tblGrid>
        <w:gridCol w:w="2949"/>
        <w:gridCol w:w="2918"/>
        <w:gridCol w:w="2124"/>
      </w:tblGrid>
      <w:tr w:rsidR="00003101" w:rsidTr="00E776FB">
        <w:trPr>
          <w:cantSplit/>
        </w:trPr>
        <w:tc>
          <w:tcPr>
            <w:tcW w:w="0" w:type="auto"/>
            <w:shd w:val="clear" w:color="auto" w:fill="CCECFF"/>
          </w:tcPr>
          <w:p w:rsidR="00003101" w:rsidRDefault="00003101" w:rsidP="004A3749">
            <w:pPr>
              <w:pStyle w:val="TableLeftText"/>
              <w:keepNext/>
            </w:pPr>
            <w:r>
              <w:t>Balance sheet</w:t>
            </w:r>
          </w:p>
        </w:tc>
        <w:tc>
          <w:tcPr>
            <w:tcW w:w="0" w:type="auto"/>
            <w:shd w:val="clear" w:color="auto" w:fill="CCECFF"/>
          </w:tcPr>
          <w:p w:rsidR="00003101" w:rsidRDefault="00003101" w:rsidP="004A3749">
            <w:pPr>
              <w:pStyle w:val="TableLeftText"/>
              <w:keepNext/>
            </w:pPr>
            <w:r>
              <w:t>Income statement</w:t>
            </w:r>
          </w:p>
        </w:tc>
        <w:tc>
          <w:tcPr>
            <w:tcW w:w="0" w:type="auto"/>
            <w:shd w:val="clear" w:color="auto" w:fill="CCECFF"/>
          </w:tcPr>
          <w:p w:rsidR="00003101" w:rsidRDefault="00003101" w:rsidP="004A3749">
            <w:pPr>
              <w:pStyle w:val="TableLeftText"/>
              <w:keepNext/>
            </w:pPr>
            <w:r>
              <w:t>Cash flows</w:t>
            </w:r>
          </w:p>
        </w:tc>
      </w:tr>
      <w:tr w:rsidR="00003101" w:rsidTr="00E776FB">
        <w:trPr>
          <w:cantSplit/>
        </w:trPr>
        <w:tc>
          <w:tcPr>
            <w:tcW w:w="0" w:type="auto"/>
            <w:shd w:val="clear" w:color="auto" w:fill="auto"/>
          </w:tcPr>
          <w:p w:rsidR="00003101" w:rsidRDefault="00003101" w:rsidP="004A3749">
            <w:pPr>
              <w:pStyle w:val="TableLeftText"/>
              <w:keepNext/>
            </w:pPr>
            <w:smartTag w:uri="urn:schemas-microsoft-com:office:smarttags" w:element="place">
              <w:smartTag w:uri="urn:schemas-microsoft-com:office:smarttags" w:element="City">
                <w:r>
                  <w:t>Enterprise</w:t>
                </w:r>
              </w:smartTag>
            </w:smartTag>
            <w:r>
              <w:t xml:space="preserve"> assets and liabilities</w:t>
            </w:r>
          </w:p>
        </w:tc>
        <w:tc>
          <w:tcPr>
            <w:tcW w:w="0" w:type="auto"/>
            <w:shd w:val="clear" w:color="auto" w:fill="auto"/>
          </w:tcPr>
          <w:p w:rsidR="00003101" w:rsidRDefault="00003101" w:rsidP="004A3749">
            <w:pPr>
              <w:pStyle w:val="TableLeftText"/>
              <w:keepNext/>
            </w:pPr>
            <w:smartTag w:uri="urn:schemas-microsoft-com:office:smarttags" w:element="City">
              <w:smartTag w:uri="urn:schemas-microsoft-com:office:smarttags" w:element="place">
                <w:r>
                  <w:t>Enterprise</w:t>
                </w:r>
              </w:smartTag>
            </w:smartTag>
            <w:r>
              <w:t xml:space="preserve"> profit after tax</w:t>
            </w:r>
          </w:p>
        </w:tc>
        <w:tc>
          <w:tcPr>
            <w:tcW w:w="0" w:type="auto"/>
            <w:shd w:val="clear" w:color="auto" w:fill="auto"/>
          </w:tcPr>
          <w:p w:rsidR="00003101" w:rsidRDefault="00003101" w:rsidP="004A3749">
            <w:pPr>
              <w:pStyle w:val="TableLeftText"/>
              <w:keepNext/>
            </w:pPr>
            <w:smartTag w:uri="urn:schemas-microsoft-com:office:smarttags" w:element="City">
              <w:smartTag w:uri="urn:schemas-microsoft-com:office:smarttags" w:element="place">
                <w:r>
                  <w:t>Enterprise</w:t>
                </w:r>
              </w:smartTag>
            </w:smartTag>
            <w:r>
              <w:t xml:space="preserve"> cash flows</w:t>
            </w:r>
          </w:p>
        </w:tc>
      </w:tr>
      <w:tr w:rsidR="00003101" w:rsidTr="00E776FB">
        <w:trPr>
          <w:cantSplit/>
        </w:trPr>
        <w:tc>
          <w:tcPr>
            <w:tcW w:w="0" w:type="auto"/>
            <w:shd w:val="clear" w:color="auto" w:fill="auto"/>
          </w:tcPr>
          <w:p w:rsidR="00003101" w:rsidRDefault="00003101" w:rsidP="00003101">
            <w:pPr>
              <w:pStyle w:val="TableLeftText"/>
            </w:pPr>
            <w:r>
              <w:t>Financial assets and liabilities</w:t>
            </w:r>
          </w:p>
        </w:tc>
        <w:tc>
          <w:tcPr>
            <w:tcW w:w="0" w:type="auto"/>
            <w:shd w:val="clear" w:color="auto" w:fill="auto"/>
          </w:tcPr>
          <w:p w:rsidR="00003101" w:rsidRDefault="00003101" w:rsidP="00003101">
            <w:pPr>
              <w:pStyle w:val="TableLeftText"/>
            </w:pPr>
            <w:r>
              <w:t>Net financial expense after tax</w:t>
            </w:r>
          </w:p>
        </w:tc>
        <w:tc>
          <w:tcPr>
            <w:tcW w:w="0" w:type="auto"/>
            <w:shd w:val="clear" w:color="auto" w:fill="auto"/>
          </w:tcPr>
          <w:p w:rsidR="00003101" w:rsidRDefault="00003101" w:rsidP="00003101">
            <w:pPr>
              <w:pStyle w:val="TableLeftText"/>
            </w:pPr>
            <w:r>
              <w:t>Financial cash flows</w:t>
            </w:r>
          </w:p>
        </w:tc>
      </w:tr>
    </w:tbl>
    <w:p w:rsidR="00003101" w:rsidRDefault="00003101" w:rsidP="00E72446">
      <w:pPr>
        <w:pStyle w:val="6pointSpacer"/>
      </w:pPr>
    </w:p>
    <w:p w:rsidR="00551976" w:rsidRDefault="00A3295D" w:rsidP="00434C91">
      <w:pPr>
        <w:pStyle w:val="BodyText"/>
      </w:pPr>
      <w:r>
        <w:t xml:space="preserve">If an item is classified as an enterprise item on any one of the statements, then the related items on the other two statements must be </w:t>
      </w:r>
      <w:r w:rsidR="00003101">
        <w:t xml:space="preserve">classified as enterprise items. The same holds for financial items. </w:t>
      </w:r>
      <w:r>
        <w:t xml:space="preserve">Thus, </w:t>
      </w:r>
      <w:r w:rsidR="00003101">
        <w:t>i</w:t>
      </w:r>
      <w:r w:rsidR="00C07366">
        <w:t xml:space="preserve">nterest income is a financial item only if </w:t>
      </w:r>
      <w:r w:rsidR="00F63225">
        <w:t xml:space="preserve">it </w:t>
      </w:r>
      <w:r w:rsidR="00C07366">
        <w:t xml:space="preserve">arises from financial assets and interest expense is a financial item only if </w:t>
      </w:r>
      <w:r w:rsidR="004C157C">
        <w:t xml:space="preserve">it </w:t>
      </w:r>
      <w:r w:rsidR="00C07366">
        <w:t xml:space="preserve">arises from financial liabilities. </w:t>
      </w:r>
      <w:r w:rsidR="00003101">
        <w:t xml:space="preserve">Thus, one should not automatically classify all interest income or all interest expense as financial items. </w:t>
      </w:r>
      <w:r w:rsidR="00C07366">
        <w:t xml:space="preserve">For example, interest costs on pension and healthcare liabilities are enterprise items, not financial items, because the pension and healthcare liabilities are enterprise liabilities, not financial liabilities. Similarly, interest income from long-term customer financing receivables is an enterprise item because the receivables are classified as enterprise items. </w:t>
      </w:r>
    </w:p>
    <w:p w:rsidR="00E64929" w:rsidRDefault="00C745C3" w:rsidP="00E64929">
      <w:pPr>
        <w:pStyle w:val="Heading2"/>
      </w:pPr>
      <w:r>
        <w:t>Incorporating</w:t>
      </w:r>
      <w:r w:rsidR="00627D02">
        <w:t xml:space="preserve"> o</w:t>
      </w:r>
      <w:r w:rsidR="00E64929">
        <w:t>ther comprehensive income</w:t>
      </w:r>
      <w:r w:rsidR="00A613ED">
        <w:t xml:space="preserve"> for accuracy</w:t>
      </w:r>
    </w:p>
    <w:p w:rsidR="009B6512" w:rsidRDefault="009B6512" w:rsidP="009B6512">
      <w:pPr>
        <w:pStyle w:val="Heading3"/>
      </w:pPr>
      <w:r>
        <w:t>Other comprehensive income</w:t>
      </w:r>
    </w:p>
    <w:p w:rsidR="00DF7330" w:rsidRDefault="0054316A" w:rsidP="00DF7330">
      <w:pPr>
        <w:pStyle w:val="BodyText"/>
      </w:pPr>
      <w:r>
        <w:t xml:space="preserve">Some changes in fair value of assets and liabilities bypass </w:t>
      </w:r>
      <w:r w:rsidR="00DF7330">
        <w:t>the income statement</w:t>
      </w:r>
      <w:r>
        <w:t xml:space="preserve"> and are included in "other comprehensive income." </w:t>
      </w:r>
      <w:r w:rsidR="00DF7330">
        <w:t xml:space="preserve">OCI appears in the statement of changes in equity. Examples of OCI items are </w:t>
      </w:r>
      <w:r w:rsidR="009B6512">
        <w:t>foreign currency translation adjustments, adjustments to pension and healthcare assets and liabilities, gains and losses on cash flow hedges, and unrealized gains/los</w:t>
      </w:r>
      <w:r w:rsidR="00DF7330">
        <w:t>ses on marketable securities.</w:t>
      </w:r>
    </w:p>
    <w:p w:rsidR="0054316A" w:rsidRDefault="0054316A" w:rsidP="0054316A">
      <w:pPr>
        <w:pStyle w:val="BodyText"/>
      </w:pPr>
      <w:r>
        <w:t>Comprehensive income [CI] = Net income [NI] + Other comprehensive income [OCI]</w:t>
      </w:r>
    </w:p>
    <w:p w:rsidR="006F1CF4" w:rsidRDefault="0054316A" w:rsidP="0054316A">
      <w:pPr>
        <w:pStyle w:val="BodyText"/>
      </w:pPr>
      <w:r>
        <w:t xml:space="preserve">From the perspective of the equity statement, </w:t>
      </w:r>
    </w:p>
    <w:p w:rsidR="0054316A" w:rsidRDefault="0054316A" w:rsidP="0054316A">
      <w:pPr>
        <w:pStyle w:val="BodyText"/>
      </w:pPr>
      <w:r>
        <w:t>Comprehensive Income = Change in Equity + Net Dividends</w:t>
      </w:r>
    </w:p>
    <w:p w:rsidR="009B6512" w:rsidRDefault="009B6512" w:rsidP="009B6512">
      <w:pPr>
        <w:pStyle w:val="Heading3"/>
      </w:pPr>
      <w:r>
        <w:t>OCI items affect the derivation of cash flows</w:t>
      </w:r>
    </w:p>
    <w:p w:rsidR="00ED5AA9" w:rsidRDefault="0036175B" w:rsidP="00ED5AA9">
      <w:pPr>
        <w:pStyle w:val="BodyText"/>
      </w:pPr>
      <w:r>
        <w:t>One needs to incorporate enterprise OCI into the derivation of enterprise cash flows (ECF)</w:t>
      </w:r>
      <w:r w:rsidR="00ED5AA9">
        <w:t xml:space="preserve"> as shown in the example below. Suppose the only event during a year is a change in exchange rates, which causes receivables of a foreign subsidiary to increase by $10. </w:t>
      </w:r>
    </w:p>
    <w:tbl>
      <w:tblPr>
        <w:tblW w:w="0" w:type="auto"/>
        <w:tblInd w:w="1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1E0" w:firstRow="1" w:lastRow="1" w:firstColumn="1" w:lastColumn="1" w:noHBand="0" w:noVBand="0"/>
      </w:tblPr>
      <w:tblGrid>
        <w:gridCol w:w="2920"/>
        <w:gridCol w:w="2920"/>
      </w:tblGrid>
      <w:tr w:rsidR="00ED5AA9" w:rsidTr="00E776FB">
        <w:trPr>
          <w:cantSplit/>
        </w:trPr>
        <w:tc>
          <w:tcPr>
            <w:tcW w:w="0" w:type="auto"/>
            <w:shd w:val="clear" w:color="auto" w:fill="CCECFF"/>
          </w:tcPr>
          <w:p w:rsidR="00ED5AA9" w:rsidRDefault="00ED5AA9" w:rsidP="007D7232">
            <w:pPr>
              <w:pStyle w:val="TableLeftText"/>
              <w:keepNext/>
            </w:pPr>
            <w:r w:rsidRPr="00A43ECC">
              <w:rPr>
                <w:rStyle w:val="Emphasize"/>
              </w:rPr>
              <w:t>Inaccurate</w:t>
            </w:r>
            <w:r>
              <w:t>: Ignores OCI</w:t>
            </w:r>
          </w:p>
        </w:tc>
        <w:tc>
          <w:tcPr>
            <w:tcW w:w="0" w:type="auto"/>
            <w:shd w:val="clear" w:color="auto" w:fill="CCECFF"/>
          </w:tcPr>
          <w:p w:rsidR="00ED5AA9" w:rsidRDefault="00ED5AA9" w:rsidP="007D7232">
            <w:pPr>
              <w:pStyle w:val="TableLeftText"/>
              <w:keepNext/>
            </w:pPr>
            <w:r>
              <w:t>Accurate: Considers OCI</w:t>
            </w:r>
          </w:p>
        </w:tc>
      </w:tr>
      <w:tr w:rsidR="00ED5AA9" w:rsidTr="00E776FB">
        <w:trPr>
          <w:cantSplit/>
        </w:trPr>
        <w:tc>
          <w:tcPr>
            <w:tcW w:w="0" w:type="auto"/>
          </w:tcPr>
          <w:p w:rsidR="00ED5AA9" w:rsidRDefault="00ED5AA9" w:rsidP="007D7232">
            <w:pPr>
              <w:pStyle w:val="TableLeftText"/>
            </w:pPr>
            <w:r>
              <w:t>EPAT = 0</w:t>
            </w:r>
          </w:p>
          <w:p w:rsidR="00ED5AA9" w:rsidRDefault="00ED5AA9" w:rsidP="007D7232">
            <w:pPr>
              <w:pStyle w:val="TableLeftText"/>
            </w:pPr>
            <w:r>
              <w:t>(Change in receivables) = (10)</w:t>
            </w:r>
          </w:p>
          <w:p w:rsidR="00ED5AA9" w:rsidRDefault="00ED5AA9" w:rsidP="007D7232">
            <w:pPr>
              <w:pStyle w:val="TableLeftText"/>
            </w:pPr>
            <w:r>
              <w:t xml:space="preserve">= </w:t>
            </w:r>
            <w:smartTag w:uri="urn:schemas-microsoft-com:office:smarttags" w:element="place">
              <w:smartTag w:uri="urn:schemas-microsoft-com:office:smarttags" w:element="City">
                <w:r>
                  <w:t>Enterprise</w:t>
                </w:r>
              </w:smartTag>
            </w:smartTag>
            <w:r>
              <w:t xml:space="preserve"> cash flow = (10)</w:t>
            </w:r>
          </w:p>
        </w:tc>
        <w:tc>
          <w:tcPr>
            <w:tcW w:w="0" w:type="auto"/>
          </w:tcPr>
          <w:p w:rsidR="00ED5AA9" w:rsidRDefault="00ED5AA9" w:rsidP="007D7232">
            <w:pPr>
              <w:pStyle w:val="TableLeftText"/>
            </w:pPr>
            <w:r>
              <w:t>Comprehensive EPAT = 10</w:t>
            </w:r>
          </w:p>
          <w:p w:rsidR="00ED5AA9" w:rsidRDefault="00ED5AA9" w:rsidP="007D7232">
            <w:pPr>
              <w:pStyle w:val="TableLeftText"/>
            </w:pPr>
            <w:r>
              <w:t>(Change in receivables) = (10)</w:t>
            </w:r>
          </w:p>
          <w:p w:rsidR="00ED5AA9" w:rsidRDefault="00ED5AA9" w:rsidP="007D7232">
            <w:pPr>
              <w:pStyle w:val="TableLeftText"/>
            </w:pPr>
            <w:r>
              <w:t xml:space="preserve">= </w:t>
            </w:r>
            <w:smartTag w:uri="urn:schemas-microsoft-com:office:smarttags" w:element="place">
              <w:smartTag w:uri="urn:schemas-microsoft-com:office:smarttags" w:element="City">
                <w:r>
                  <w:t>Enterprise</w:t>
                </w:r>
              </w:smartTag>
            </w:smartTag>
            <w:r>
              <w:t xml:space="preserve"> cash flow = 0</w:t>
            </w:r>
          </w:p>
        </w:tc>
      </w:tr>
    </w:tbl>
    <w:p w:rsidR="00ED5AA9" w:rsidRDefault="00ED5AA9" w:rsidP="006A34A1">
      <w:pPr>
        <w:pStyle w:val="6pointSpacer"/>
      </w:pPr>
    </w:p>
    <w:p w:rsidR="00ED5AA9" w:rsidRDefault="00ED5AA9" w:rsidP="00ED5AA9">
      <w:pPr>
        <w:pStyle w:val="BodyText"/>
      </w:pPr>
      <w:r>
        <w:t>N</w:t>
      </w:r>
      <w:r w:rsidR="006F1CF4">
        <w:t xml:space="preserve">on-cash </w:t>
      </w:r>
      <w:r w:rsidR="0036175B">
        <w:t xml:space="preserve">changes in enterprise assets and liabilities due to enterprise OCI affect the balance sheet but not the enterprise profit after tax (EPAT). </w:t>
      </w:r>
      <w:r>
        <w:t xml:space="preserve">Two approaches can be used to correct for OCI in the derivation of ECF. </w:t>
      </w:r>
    </w:p>
    <w:p w:rsidR="00ED5AA9" w:rsidRDefault="00E72446" w:rsidP="00ED5AA9">
      <w:pPr>
        <w:pStyle w:val="BodyText"/>
        <w:numPr>
          <w:ilvl w:val="0"/>
          <w:numId w:val="41"/>
        </w:numPr>
      </w:pPr>
      <w:r>
        <w:t>ECF = EPAT – (</w:t>
      </w:r>
      <w:r w:rsidR="00ED5AA9">
        <w:t>Change in NEA - Change in NEA</w:t>
      </w:r>
      <w:r>
        <w:t xml:space="preserve"> due to Enterprise OCI)</w:t>
      </w:r>
    </w:p>
    <w:p w:rsidR="00ED5AA9" w:rsidRDefault="00E72446" w:rsidP="00ED5AA9">
      <w:pPr>
        <w:pStyle w:val="BodyText"/>
        <w:numPr>
          <w:ilvl w:val="0"/>
          <w:numId w:val="41"/>
        </w:numPr>
      </w:pPr>
      <w:r>
        <w:t xml:space="preserve">ECF = </w:t>
      </w:r>
      <w:r w:rsidR="00ED5AA9">
        <w:t xml:space="preserve">Comprehensive EPAT – Change in NEA. </w:t>
      </w:r>
    </w:p>
    <w:p w:rsidR="00ED5AA9" w:rsidRDefault="00ED5AA9" w:rsidP="00ED5AA9">
      <w:pPr>
        <w:pStyle w:val="BodyText"/>
      </w:pPr>
      <w:r>
        <w:t>The spreadsheet uses the second approach because it is easier to implement.</w:t>
      </w:r>
    </w:p>
    <w:p w:rsidR="009B6512" w:rsidRDefault="00827094" w:rsidP="009B6512">
      <w:pPr>
        <w:pStyle w:val="Heading3"/>
      </w:pPr>
      <w:r>
        <w:t>Adjusting for OCI</w:t>
      </w:r>
      <w:r w:rsidR="00522EB0">
        <w:t xml:space="preserve"> to derive enterprise cash flows correctly</w:t>
      </w:r>
    </w:p>
    <w:p w:rsidR="0036175B" w:rsidRDefault="0036175B" w:rsidP="00ED5AA9">
      <w:pPr>
        <w:pStyle w:val="BodyText"/>
      </w:pPr>
      <w:r>
        <w:t xml:space="preserve">The </w:t>
      </w:r>
      <w:r w:rsidR="002C7DDD">
        <w:t>comprehensive</w:t>
      </w:r>
      <w:r>
        <w:t xml:space="preserve"> </w:t>
      </w:r>
      <w:r w:rsidR="002C7DDD">
        <w:t>section</w:t>
      </w:r>
      <w:r>
        <w:t xml:space="preserve"> requires only two additional inputs from the equity statement as stated below:</w:t>
      </w:r>
    </w:p>
    <w:p w:rsidR="0036175B" w:rsidRDefault="0036175B" w:rsidP="0036175B">
      <w:pPr>
        <w:pStyle w:val="BodyText"/>
        <w:numPr>
          <w:ilvl w:val="0"/>
          <w:numId w:val="37"/>
        </w:numPr>
      </w:pPr>
      <w:r>
        <w:t>Comprehensive Income</w:t>
      </w:r>
    </w:p>
    <w:p w:rsidR="0036175B" w:rsidRDefault="0036175B" w:rsidP="0036175B">
      <w:pPr>
        <w:pStyle w:val="BodyText"/>
        <w:numPr>
          <w:ilvl w:val="0"/>
          <w:numId w:val="37"/>
        </w:numPr>
      </w:pPr>
      <w:r>
        <w:t>Financial OCI items, primarily unrealized gains/losses on marketable securities, and gains/losses due to he</w:t>
      </w:r>
      <w:r w:rsidR="00893040">
        <w:t>d</w:t>
      </w:r>
      <w:r>
        <w:t>ging activities</w:t>
      </w:r>
    </w:p>
    <w:p w:rsidR="0036175B" w:rsidRDefault="0036175B" w:rsidP="0036175B">
      <w:pPr>
        <w:pStyle w:val="BodyText"/>
      </w:pPr>
      <w:r>
        <w:t>It then infers Comprehensive EPAT as follows:</w:t>
      </w:r>
    </w:p>
    <w:p w:rsidR="0036175B" w:rsidRDefault="0036175B" w:rsidP="0036175B">
      <w:pPr>
        <w:pStyle w:val="BodyText"/>
        <w:numPr>
          <w:ilvl w:val="0"/>
          <w:numId w:val="39"/>
        </w:numPr>
      </w:pPr>
      <w:smartTag w:uri="urn:schemas-microsoft-com:office:smarttags" w:element="City">
        <w:smartTag w:uri="urn:schemas-microsoft-com:office:smarttags" w:element="place">
          <w:r>
            <w:t>Enterprise</w:t>
          </w:r>
        </w:smartTag>
      </w:smartTag>
      <w:r>
        <w:t xml:space="preserve"> OCI = OCI </w:t>
      </w:r>
      <w:r w:rsidR="007F6F99">
        <w:t>–</w:t>
      </w:r>
      <w:r>
        <w:t xml:space="preserve"> Financial OCI</w:t>
      </w:r>
    </w:p>
    <w:p w:rsidR="0036175B" w:rsidRDefault="0036175B" w:rsidP="0036175B">
      <w:pPr>
        <w:pStyle w:val="BodyText"/>
        <w:numPr>
          <w:ilvl w:val="0"/>
          <w:numId w:val="38"/>
        </w:numPr>
      </w:pPr>
      <w:r>
        <w:t xml:space="preserve">Comprehensive EPAT = EPAT + </w:t>
      </w:r>
      <w:smartTag w:uri="urn:schemas-microsoft-com:office:smarttags" w:element="place">
        <w:smartTag w:uri="urn:schemas-microsoft-com:office:smarttags" w:element="City">
          <w:r>
            <w:t>Enterprise</w:t>
          </w:r>
        </w:smartTag>
      </w:smartTag>
      <w:r>
        <w:t xml:space="preserve"> OCI.</w:t>
      </w:r>
    </w:p>
    <w:p w:rsidR="00784F78" w:rsidRDefault="002C7DDD" w:rsidP="00F2018A">
      <w:pPr>
        <w:pStyle w:val="BodyText"/>
      </w:pPr>
      <w:r>
        <w:t>To derive the enterprise cash flows correctly, one must r</w:t>
      </w:r>
      <w:r w:rsidR="0036175B">
        <w:t>eplac</w:t>
      </w:r>
      <w:r>
        <w:t>e</w:t>
      </w:r>
      <w:r w:rsidR="0036175B">
        <w:t xml:space="preserve"> NI </w:t>
      </w:r>
      <w:r w:rsidR="00B3147D">
        <w:t>by</w:t>
      </w:r>
      <w:r w:rsidR="0036175B">
        <w:t xml:space="preserve"> comprehensive Income, EPAT </w:t>
      </w:r>
      <w:r w:rsidR="00B3147D">
        <w:t>by</w:t>
      </w:r>
      <w:r w:rsidR="0036175B">
        <w:t xml:space="preserve"> Comprehensive EPAT, and NFE </w:t>
      </w:r>
      <w:r w:rsidR="00B3147D">
        <w:t>by</w:t>
      </w:r>
      <w:r w:rsidR="0036175B">
        <w:t xml:space="preserve"> Comprehensive NFE.</w:t>
      </w:r>
    </w:p>
    <w:p w:rsidR="000F675D" w:rsidRDefault="0054316A" w:rsidP="00F2018A">
      <w:pPr>
        <w:pStyle w:val="BodyText"/>
      </w:pPr>
      <w:r>
        <w:t>The rest of the "</w:t>
      </w:r>
      <w:r w:rsidR="002C7DDD">
        <w:t>comprehensive</w:t>
      </w:r>
      <w:r>
        <w:t xml:space="preserve"> version" of the spreadsheet is otherwise no different from the first part, and thus the detailed steps have been omitted.</w:t>
      </w:r>
      <w:r w:rsidR="000F675D">
        <w:t xml:space="preserve"> </w:t>
      </w:r>
    </w:p>
    <w:p w:rsidR="00864705" w:rsidRDefault="0080345A">
      <w:pPr>
        <w:pStyle w:val="Heading1"/>
      </w:pPr>
      <w:r>
        <w:t>Detailed s</w:t>
      </w:r>
      <w:r w:rsidR="00864705">
        <w:t>teps to be read with the spreadsheet</w:t>
      </w:r>
    </w:p>
    <w:p w:rsidR="00864705" w:rsidRDefault="00864705">
      <w:pPr>
        <w:pStyle w:val="Heading2"/>
      </w:pPr>
      <w:r>
        <w:t xml:space="preserve">Income statement: </w:t>
      </w:r>
      <w:smartTag w:uri="urn:schemas-microsoft-com:office:smarttags" w:element="place">
        <w:smartTag w:uri="urn:schemas-microsoft-com:office:smarttags" w:element="City">
          <w:r>
            <w:t>Enterprise</w:t>
          </w:r>
        </w:smartTag>
      </w:smartTag>
      <w:r>
        <w:t xml:space="preserve"> vs. financial activities</w:t>
      </w:r>
    </w:p>
    <w:tbl>
      <w:tblPr>
        <w:tblStyle w:val="TableGrid"/>
        <w:tblW w:w="0" w:type="auto"/>
        <w:tblInd w:w="61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4A0" w:firstRow="1" w:lastRow="0" w:firstColumn="1" w:lastColumn="0" w:noHBand="0" w:noVBand="1"/>
      </w:tblPr>
      <w:tblGrid>
        <w:gridCol w:w="6442"/>
      </w:tblGrid>
      <w:tr w:rsidR="00C01C98" w:rsidTr="00E776FB">
        <w:trPr>
          <w:cantSplit/>
        </w:trPr>
        <w:tc>
          <w:tcPr>
            <w:tcW w:w="0" w:type="auto"/>
            <w:shd w:val="clear" w:color="auto" w:fill="CCECFF"/>
          </w:tcPr>
          <w:p w:rsidR="00C01C98" w:rsidRDefault="00C01C98" w:rsidP="00C01C98">
            <w:pPr>
              <w:pStyle w:val="TableLeftText"/>
              <w:keepNext/>
            </w:pPr>
            <w:r>
              <w:t>A simplified version of the income statement</w:t>
            </w:r>
          </w:p>
        </w:tc>
      </w:tr>
      <w:tr w:rsidR="00C01C98" w:rsidTr="00E776FB">
        <w:trPr>
          <w:cantSplit/>
        </w:trPr>
        <w:tc>
          <w:tcPr>
            <w:tcW w:w="0" w:type="auto"/>
            <w:shd w:val="clear" w:color="auto" w:fill="auto"/>
          </w:tcPr>
          <w:p w:rsidR="00C01C98" w:rsidRDefault="00C01C98" w:rsidP="00C01C98">
            <w:r>
              <w:t>Sales (S)</w:t>
            </w:r>
          </w:p>
          <w:p w:rsidR="00C01C98" w:rsidRDefault="00C01C98" w:rsidP="00C01C98">
            <w:r>
              <w:t>- COGS</w:t>
            </w:r>
          </w:p>
          <w:p w:rsidR="00C01C98" w:rsidRDefault="00C01C98" w:rsidP="00C01C98">
            <w:r>
              <w:t>= Gross profit</w:t>
            </w:r>
          </w:p>
          <w:p w:rsidR="00C01C98" w:rsidRDefault="00C01C98" w:rsidP="00C01C98">
            <w:r>
              <w:t>- Selling, general, &amp; administrative expenses (SG&amp;A)</w:t>
            </w:r>
          </w:p>
          <w:p w:rsidR="00C01C98" w:rsidRDefault="00C01C98" w:rsidP="00C01C98">
            <w:r>
              <w:t>- Research and development costs</w:t>
            </w:r>
          </w:p>
          <w:p w:rsidR="00C01C98" w:rsidRDefault="00C01C98" w:rsidP="00C01C98">
            <w:r>
              <w:t>= Enterprise profit or Earnings before interest and taxes (EBIT)</w:t>
            </w:r>
          </w:p>
        </w:tc>
      </w:tr>
      <w:tr w:rsidR="00C01C98" w:rsidTr="00E776FB">
        <w:trPr>
          <w:cantSplit/>
        </w:trPr>
        <w:tc>
          <w:tcPr>
            <w:tcW w:w="0" w:type="auto"/>
            <w:shd w:val="clear" w:color="auto" w:fill="auto"/>
          </w:tcPr>
          <w:p w:rsidR="00C01C98" w:rsidRDefault="00C01C98" w:rsidP="00C01C98">
            <w:r>
              <w:t>+ Financial income [=Financial assets * financial income rate (r</w:t>
            </w:r>
            <w:r w:rsidRPr="00B5079B">
              <w:rPr>
                <w:vertAlign w:val="subscript"/>
              </w:rPr>
              <w:t>c</w:t>
            </w:r>
            <w:r>
              <w:t>)]</w:t>
            </w:r>
          </w:p>
          <w:p w:rsidR="00C01C98" w:rsidRDefault="00C01C98" w:rsidP="00C01C98">
            <w:r>
              <w:t>- Financial expense [=Financial liabilities * financial expense rate (r</w:t>
            </w:r>
            <w:r w:rsidRPr="00B5079B">
              <w:rPr>
                <w:vertAlign w:val="subscript"/>
              </w:rPr>
              <w:t>d</w:t>
            </w:r>
            <w:r>
              <w:t>)]</w:t>
            </w:r>
          </w:p>
          <w:p w:rsidR="00C01C98" w:rsidRDefault="00C01C98" w:rsidP="00C01C98">
            <w:r>
              <w:t>= Earnings before tax (EBT) or profit before taxes (PBT)</w:t>
            </w:r>
          </w:p>
        </w:tc>
      </w:tr>
      <w:tr w:rsidR="00C01C98" w:rsidTr="00E776FB">
        <w:trPr>
          <w:cantSplit/>
        </w:trPr>
        <w:tc>
          <w:tcPr>
            <w:tcW w:w="0" w:type="auto"/>
            <w:shd w:val="clear" w:color="auto" w:fill="auto"/>
          </w:tcPr>
          <w:p w:rsidR="00C01C98" w:rsidRDefault="00C01C98" w:rsidP="00C01C98">
            <w:r>
              <w:t>- Tax expense [EBT * tax rate (t)]</w:t>
            </w:r>
          </w:p>
          <w:p w:rsidR="00C01C98" w:rsidRDefault="00C01C98" w:rsidP="00C01C98">
            <w:r w:rsidRPr="00C01C98">
              <w:t>= Net income (NI) to common equity</w:t>
            </w:r>
          </w:p>
        </w:tc>
      </w:tr>
      <w:tr w:rsidR="00C01C98" w:rsidTr="00E776FB">
        <w:trPr>
          <w:cantSplit/>
        </w:trPr>
        <w:tc>
          <w:tcPr>
            <w:tcW w:w="0" w:type="auto"/>
            <w:shd w:val="clear" w:color="auto" w:fill="auto"/>
          </w:tcPr>
          <w:p w:rsidR="00C01C98" w:rsidRDefault="00C01C98" w:rsidP="00C01C98">
            <w:pPr>
              <w:pStyle w:val="TableLeftText"/>
            </w:pPr>
            <w:r>
              <w:t>Less Net income attributed to non-controlling interest</w:t>
            </w:r>
          </w:p>
          <w:p w:rsidR="00C01C98" w:rsidRDefault="00C01C98" w:rsidP="00C01C98">
            <w:pPr>
              <w:pStyle w:val="TableLeftText"/>
            </w:pPr>
            <w:r>
              <w:t>Less Preferred dividends</w:t>
            </w:r>
          </w:p>
          <w:p w:rsidR="00C01C98" w:rsidRDefault="00C01C98" w:rsidP="00C01C98">
            <w:pPr>
              <w:pStyle w:val="TableLeftText"/>
            </w:pPr>
            <w:r>
              <w:t>= Net income attributed to common shareholders of the parent</w:t>
            </w:r>
          </w:p>
        </w:tc>
      </w:tr>
    </w:tbl>
    <w:p w:rsidR="00C01C98" w:rsidRDefault="00C01C98" w:rsidP="00C01C98"/>
    <w:tbl>
      <w:tblPr>
        <w:tblStyle w:val="TableGrid"/>
        <w:tblW w:w="0" w:type="auto"/>
        <w:tblInd w:w="61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4A0" w:firstRow="1" w:lastRow="0" w:firstColumn="1" w:lastColumn="0" w:noHBand="0" w:noVBand="1"/>
      </w:tblPr>
      <w:tblGrid>
        <w:gridCol w:w="8971"/>
      </w:tblGrid>
      <w:tr w:rsidR="00C01C98" w:rsidTr="00E776FB">
        <w:trPr>
          <w:cantSplit/>
        </w:trPr>
        <w:tc>
          <w:tcPr>
            <w:tcW w:w="0" w:type="auto"/>
            <w:shd w:val="clear" w:color="auto" w:fill="CCECFF"/>
          </w:tcPr>
          <w:p w:rsidR="00C01C98" w:rsidRDefault="00C01C98" w:rsidP="00A70BEB">
            <w:pPr>
              <w:pStyle w:val="TableLeftText"/>
              <w:keepNext/>
            </w:pPr>
            <w:r w:rsidRPr="00C01C98">
              <w:t>Derivation of enterprise profit after tax using the bottom-up approach</w:t>
            </w:r>
          </w:p>
        </w:tc>
      </w:tr>
      <w:tr w:rsidR="00C01C98" w:rsidTr="00E776FB">
        <w:trPr>
          <w:cantSplit/>
        </w:trPr>
        <w:tc>
          <w:tcPr>
            <w:tcW w:w="0" w:type="auto"/>
            <w:shd w:val="clear" w:color="auto" w:fill="auto"/>
          </w:tcPr>
          <w:p w:rsidR="00C01C98" w:rsidRDefault="00C01C98" w:rsidP="00A70BEB">
            <w:r w:rsidRPr="004A1174">
              <w:t>Enterprise profit after tax = Net income + Net financial expense after tax</w:t>
            </w:r>
          </w:p>
        </w:tc>
      </w:tr>
      <w:tr w:rsidR="00C01C98" w:rsidTr="00E776FB">
        <w:trPr>
          <w:cantSplit/>
        </w:trPr>
        <w:tc>
          <w:tcPr>
            <w:tcW w:w="0" w:type="auto"/>
            <w:shd w:val="clear" w:color="auto" w:fill="auto"/>
          </w:tcPr>
          <w:p w:rsidR="00C01C98" w:rsidRDefault="00C01C98" w:rsidP="00A70BEB">
            <w:r>
              <w:t>Net financial expense after tax = Net financial expense - Tax (benefit) allocated to net financial expense</w:t>
            </w:r>
          </w:p>
        </w:tc>
      </w:tr>
      <w:tr w:rsidR="00C01C98" w:rsidTr="00E776FB">
        <w:trPr>
          <w:cantSplit/>
        </w:trPr>
        <w:tc>
          <w:tcPr>
            <w:tcW w:w="0" w:type="auto"/>
            <w:shd w:val="clear" w:color="auto" w:fill="auto"/>
          </w:tcPr>
          <w:p w:rsidR="00C01C98" w:rsidRDefault="00C01C98" w:rsidP="00C01C98">
            <w:r>
              <w:t>Tax (benefit) allocated to net financial expense = - net financial expense * financial tax rate</w:t>
            </w:r>
          </w:p>
          <w:p w:rsidR="00C01C98" w:rsidRDefault="00C01C98" w:rsidP="00C01C98">
            <w:r>
              <w:t xml:space="preserve">For simplicity, we assume that all differences </w:t>
            </w:r>
            <w:r w:rsidRPr="00951942">
              <w:t xml:space="preserve">between the effective </w:t>
            </w:r>
            <w:r>
              <w:t xml:space="preserve">tax rate </w:t>
            </w:r>
            <w:r w:rsidRPr="00951942">
              <w:t xml:space="preserve">and </w:t>
            </w:r>
            <w:r>
              <w:t xml:space="preserve">the </w:t>
            </w:r>
            <w:r w:rsidRPr="00951942">
              <w:t xml:space="preserve">statutory </w:t>
            </w:r>
            <w:r>
              <w:t xml:space="preserve">tax </w:t>
            </w:r>
            <w:r w:rsidRPr="00951942">
              <w:t xml:space="preserve">rate </w:t>
            </w:r>
            <w:r>
              <w:t xml:space="preserve">arise from </w:t>
            </w:r>
            <w:r w:rsidRPr="00951942">
              <w:t>enterprise activities</w:t>
            </w:r>
            <w:r>
              <w:t>. In that case, financial tax rate equals statutory rate.</w:t>
            </w:r>
          </w:p>
        </w:tc>
      </w:tr>
    </w:tbl>
    <w:p w:rsidR="00BC38B0" w:rsidRDefault="00BC38B0" w:rsidP="00BC38B0"/>
    <w:p w:rsidR="00864705" w:rsidRDefault="00951942" w:rsidP="00BC38B0">
      <w:pPr>
        <w:pStyle w:val="BodyText"/>
      </w:pPr>
      <w:r w:rsidRPr="00951942">
        <w:t>The "bottom</w:t>
      </w:r>
      <w:r w:rsidR="00BF780B">
        <w:t>-</w:t>
      </w:r>
      <w:r w:rsidRPr="00951942">
        <w:t>up" approach (which starts with net income) is simpler than the "top down" app</w:t>
      </w:r>
      <w:r w:rsidR="00284657">
        <w:t>roach (which starts with sales) because of two reasons: (a)</w:t>
      </w:r>
      <w:r w:rsidRPr="00951942">
        <w:t xml:space="preserve"> </w:t>
      </w:r>
      <w:r>
        <w:t xml:space="preserve">There are fewer financial items </w:t>
      </w:r>
      <w:r w:rsidRPr="00951942">
        <w:t>than enterprise i</w:t>
      </w:r>
      <w:r>
        <w:t>tems</w:t>
      </w:r>
      <w:r w:rsidR="00284657">
        <w:t>,</w:t>
      </w:r>
      <w:r>
        <w:t xml:space="preserve"> and </w:t>
      </w:r>
      <w:r w:rsidR="00284657">
        <w:t xml:space="preserve">(b) </w:t>
      </w:r>
      <w:r>
        <w:t>their tax consequences are easy to identify.</w:t>
      </w:r>
      <w:r w:rsidR="00864705">
        <w:t xml:space="preserve"> </w:t>
      </w:r>
    </w:p>
    <w:p w:rsidR="00041EE4" w:rsidRDefault="00041EE4" w:rsidP="00041EE4">
      <w:pPr>
        <w:pStyle w:val="BodyText"/>
      </w:pPr>
      <w:r>
        <w:t>Real financial statements are seldom this simple. They often have “other income” such as equity income and non-recurring items such as restructuring charges. Real companies also have other comprehensive income that is not included on the income state</w:t>
      </w:r>
      <w:r w:rsidR="002121F0">
        <w:t>ment</w:t>
      </w:r>
      <w:r>
        <w:t>.</w:t>
      </w:r>
    </w:p>
    <w:p w:rsidR="00864705" w:rsidRDefault="00864705">
      <w:pPr>
        <w:pStyle w:val="Heading3"/>
      </w:pPr>
      <w:r>
        <w:t xml:space="preserve">Derive enterprise </w:t>
      </w:r>
      <w:r w:rsidR="00FA2305">
        <w:t>profit before tax</w:t>
      </w:r>
      <w:r>
        <w:t>: Spreadsheet steps</w:t>
      </w:r>
    </w:p>
    <w:p w:rsidR="001F38F7" w:rsidRDefault="001F38F7" w:rsidP="001F38F7">
      <w:pPr>
        <w:pStyle w:val="BodyText"/>
      </w:pPr>
      <w:r>
        <w:t>We are using the bottom-up approach to derive EPAT from NI.</w:t>
      </w:r>
    </w:p>
    <w:p w:rsidR="006C73A8" w:rsidRDefault="006C73A8" w:rsidP="006C73A8">
      <w:pPr>
        <w:pStyle w:val="BodyText"/>
        <w:numPr>
          <w:ilvl w:val="0"/>
          <w:numId w:val="12"/>
        </w:numPr>
      </w:pPr>
      <w:r>
        <w:t>Input: Net income (loss) to common equity. Enter loss as a negative number.</w:t>
      </w:r>
    </w:p>
    <w:tbl>
      <w:tblPr>
        <w:tblStyle w:val="TableGrid"/>
        <w:tblW w:w="0" w:type="auto"/>
        <w:tblInd w:w="61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4A0" w:firstRow="1" w:lastRow="0" w:firstColumn="1" w:lastColumn="0" w:noHBand="0" w:noVBand="1"/>
      </w:tblPr>
      <w:tblGrid>
        <w:gridCol w:w="4660"/>
        <w:gridCol w:w="2870"/>
      </w:tblGrid>
      <w:tr w:rsidR="006C73A8" w:rsidTr="00B21537">
        <w:trPr>
          <w:cantSplit/>
        </w:trPr>
        <w:tc>
          <w:tcPr>
            <w:tcW w:w="0" w:type="auto"/>
            <w:shd w:val="clear" w:color="auto" w:fill="CCECFF"/>
          </w:tcPr>
          <w:p w:rsidR="006C73A8" w:rsidRDefault="006C73A8" w:rsidP="00B21537">
            <w:pPr>
              <w:pStyle w:val="TableLeftText"/>
              <w:keepNext/>
            </w:pPr>
            <w:r>
              <w:t>Income statement</w:t>
            </w:r>
          </w:p>
        </w:tc>
        <w:tc>
          <w:tcPr>
            <w:tcW w:w="0" w:type="auto"/>
            <w:shd w:val="clear" w:color="auto" w:fill="CCECFF"/>
          </w:tcPr>
          <w:p w:rsidR="006C73A8" w:rsidRDefault="006C73A8" w:rsidP="00B21537">
            <w:pPr>
              <w:pStyle w:val="TableLeftText"/>
              <w:keepNext/>
            </w:pPr>
            <w:r>
              <w:t>Balance sheet</w:t>
            </w:r>
          </w:p>
        </w:tc>
      </w:tr>
      <w:tr w:rsidR="006C73A8" w:rsidTr="00B21537">
        <w:trPr>
          <w:cantSplit/>
        </w:trPr>
        <w:tc>
          <w:tcPr>
            <w:tcW w:w="0" w:type="auto"/>
            <w:shd w:val="clear" w:color="auto" w:fill="auto"/>
          </w:tcPr>
          <w:p w:rsidR="006C73A8" w:rsidRDefault="006C73A8" w:rsidP="00B21537">
            <w:pPr>
              <w:pStyle w:val="TableLeftText"/>
              <w:keepNext/>
            </w:pPr>
            <w:r>
              <w:t xml:space="preserve">Net income before attribution to </w:t>
            </w:r>
          </w:p>
          <w:p w:rsidR="006C73A8" w:rsidRDefault="006C73A8" w:rsidP="00B21537">
            <w:pPr>
              <w:pStyle w:val="TableLeftText"/>
              <w:keepNext/>
            </w:pPr>
            <w:r>
              <w:t>non-controlling interest and preferred dividends</w:t>
            </w:r>
          </w:p>
        </w:tc>
        <w:tc>
          <w:tcPr>
            <w:tcW w:w="0" w:type="auto"/>
          </w:tcPr>
          <w:p w:rsidR="006C73A8" w:rsidRDefault="006C73A8" w:rsidP="00B21537">
            <w:pPr>
              <w:pStyle w:val="TableLeftText"/>
              <w:keepNext/>
            </w:pPr>
            <w:r>
              <w:t>Equity</w:t>
            </w:r>
          </w:p>
        </w:tc>
      </w:tr>
      <w:tr w:rsidR="006C73A8" w:rsidTr="00B21537">
        <w:trPr>
          <w:cantSplit/>
        </w:trPr>
        <w:tc>
          <w:tcPr>
            <w:tcW w:w="0" w:type="auto"/>
            <w:shd w:val="clear" w:color="auto" w:fill="auto"/>
          </w:tcPr>
          <w:p w:rsidR="006C73A8" w:rsidRDefault="006C73A8" w:rsidP="00B21537">
            <w:pPr>
              <w:pStyle w:val="TableLeftText"/>
              <w:keepNext/>
            </w:pPr>
            <w:r>
              <w:t>Less: Income attributed to non-controlling interest</w:t>
            </w:r>
          </w:p>
        </w:tc>
        <w:tc>
          <w:tcPr>
            <w:tcW w:w="0" w:type="auto"/>
          </w:tcPr>
          <w:p w:rsidR="006C73A8" w:rsidRDefault="006C73A8" w:rsidP="00B21537">
            <w:pPr>
              <w:pStyle w:val="TableLeftText"/>
              <w:keepNext/>
            </w:pPr>
            <w:r>
              <w:t>Less: Non-controlling interest</w:t>
            </w:r>
          </w:p>
        </w:tc>
      </w:tr>
      <w:tr w:rsidR="006C73A8" w:rsidTr="00B21537">
        <w:trPr>
          <w:cantSplit/>
        </w:trPr>
        <w:tc>
          <w:tcPr>
            <w:tcW w:w="0" w:type="auto"/>
            <w:shd w:val="clear" w:color="auto" w:fill="auto"/>
          </w:tcPr>
          <w:p w:rsidR="006C73A8" w:rsidRDefault="006C73A8" w:rsidP="00B21537">
            <w:pPr>
              <w:pStyle w:val="TableLeftText"/>
              <w:keepNext/>
            </w:pPr>
            <w:r>
              <w:t>Less: Preferred dividends</w:t>
            </w:r>
          </w:p>
        </w:tc>
        <w:tc>
          <w:tcPr>
            <w:tcW w:w="0" w:type="auto"/>
          </w:tcPr>
          <w:p w:rsidR="006C73A8" w:rsidRDefault="006C73A8" w:rsidP="00B21537">
            <w:pPr>
              <w:pStyle w:val="TableLeftText"/>
              <w:keepNext/>
            </w:pPr>
            <w:r>
              <w:t>Less: Preferred equity</w:t>
            </w:r>
          </w:p>
        </w:tc>
      </w:tr>
      <w:tr w:rsidR="006C73A8" w:rsidTr="00B21537">
        <w:trPr>
          <w:cantSplit/>
        </w:trPr>
        <w:tc>
          <w:tcPr>
            <w:tcW w:w="0" w:type="auto"/>
            <w:shd w:val="clear" w:color="auto" w:fill="auto"/>
          </w:tcPr>
          <w:p w:rsidR="006C73A8" w:rsidRDefault="006C73A8" w:rsidP="00B21537">
            <w:pPr>
              <w:pStyle w:val="TableLeftText"/>
            </w:pPr>
            <w:r>
              <w:t xml:space="preserve">= </w:t>
            </w:r>
            <w:r w:rsidRPr="002D0B02">
              <w:rPr>
                <w:rStyle w:val="Emphasize"/>
              </w:rPr>
              <w:t>Net income to common equity</w:t>
            </w:r>
            <w:r>
              <w:t xml:space="preserve"> </w:t>
            </w:r>
          </w:p>
        </w:tc>
        <w:tc>
          <w:tcPr>
            <w:tcW w:w="0" w:type="auto"/>
          </w:tcPr>
          <w:p w:rsidR="006C73A8" w:rsidRDefault="006C73A8" w:rsidP="00B21537">
            <w:pPr>
              <w:pStyle w:val="TableLeftText"/>
            </w:pPr>
            <w:r>
              <w:t xml:space="preserve">= Common equity </w:t>
            </w:r>
          </w:p>
        </w:tc>
      </w:tr>
    </w:tbl>
    <w:p w:rsidR="006C73A8" w:rsidRDefault="006C73A8" w:rsidP="006C73A8">
      <w:pPr>
        <w:pStyle w:val="6pointSpacer"/>
      </w:pPr>
    </w:p>
    <w:p w:rsidR="006C73A8" w:rsidRDefault="006C73A8" w:rsidP="006C73A8">
      <w:pPr>
        <w:pStyle w:val="BodyText"/>
        <w:numPr>
          <w:ilvl w:val="1"/>
          <w:numId w:val="12"/>
        </w:numPr>
      </w:pPr>
      <w:r>
        <w:t>Reflects both enterprise and financial activities</w:t>
      </w:r>
    </w:p>
    <w:p w:rsidR="006C73A8" w:rsidRDefault="006C73A8" w:rsidP="006C73A8">
      <w:pPr>
        <w:pStyle w:val="BodyText"/>
        <w:numPr>
          <w:ilvl w:val="0"/>
          <w:numId w:val="12"/>
        </w:numPr>
      </w:pPr>
      <w:r>
        <w:t>Refer to NI in the input row.</w:t>
      </w:r>
    </w:p>
    <w:p w:rsidR="00E168A1" w:rsidRDefault="00E168A1" w:rsidP="00E168A1">
      <w:pPr>
        <w:pStyle w:val="BodyText"/>
        <w:numPr>
          <w:ilvl w:val="0"/>
          <w:numId w:val="12"/>
        </w:numPr>
      </w:pPr>
      <w:r>
        <w:t>Input: Financial expense</w:t>
      </w:r>
      <w:r w:rsidR="00282C50">
        <w:t xml:space="preserve"> </w:t>
      </w:r>
      <w:r>
        <w:t>a</w:t>
      </w:r>
      <w:r w:rsidR="00282C50">
        <w:t>s a p</w:t>
      </w:r>
      <w:r>
        <w:t>ositive number</w:t>
      </w:r>
      <w:r w:rsidR="00282C50">
        <w:t xml:space="preserve"> [FE}</w:t>
      </w:r>
    </w:p>
    <w:p w:rsidR="00E168A1" w:rsidRDefault="00E168A1" w:rsidP="00E168A1">
      <w:pPr>
        <w:pStyle w:val="BodyText"/>
        <w:numPr>
          <w:ilvl w:val="1"/>
          <w:numId w:val="12"/>
        </w:numPr>
      </w:pPr>
      <w:r>
        <w:t>Primarily interest expense due to financial liabilities</w:t>
      </w:r>
    </w:p>
    <w:p w:rsidR="00E168A1" w:rsidRDefault="00E168A1" w:rsidP="00E168A1">
      <w:pPr>
        <w:pStyle w:val="BodyText"/>
        <w:numPr>
          <w:ilvl w:val="1"/>
          <w:numId w:val="12"/>
        </w:numPr>
      </w:pPr>
      <w:r>
        <w:t>Occasionally gains (losses) on retirement of financial liabilities are also included here.</w:t>
      </w:r>
    </w:p>
    <w:p w:rsidR="00E168A1" w:rsidRDefault="00E168A1" w:rsidP="00E168A1">
      <w:pPr>
        <w:pStyle w:val="BodyText"/>
        <w:numPr>
          <w:ilvl w:val="0"/>
          <w:numId w:val="12"/>
        </w:numPr>
      </w:pPr>
      <w:r>
        <w:t>Refer to the input row for financial expense.</w:t>
      </w:r>
    </w:p>
    <w:p w:rsidR="00E168A1" w:rsidRDefault="00E168A1" w:rsidP="00E168A1">
      <w:pPr>
        <w:pStyle w:val="BodyText"/>
        <w:numPr>
          <w:ilvl w:val="0"/>
          <w:numId w:val="12"/>
        </w:numPr>
      </w:pPr>
      <w:r>
        <w:t>Input: Financial income</w:t>
      </w:r>
      <w:r w:rsidR="00282C50">
        <w:t xml:space="preserve"> as </w:t>
      </w:r>
      <w:r>
        <w:t>a positive number</w:t>
      </w:r>
      <w:r w:rsidR="00282C50">
        <w:t xml:space="preserve"> [FI]</w:t>
      </w:r>
    </w:p>
    <w:p w:rsidR="00E168A1" w:rsidRDefault="00E168A1" w:rsidP="00E168A1">
      <w:pPr>
        <w:pStyle w:val="BodyText"/>
        <w:numPr>
          <w:ilvl w:val="1"/>
          <w:numId w:val="12"/>
        </w:numPr>
      </w:pPr>
      <w:r>
        <w:t>Primarily interest income and realized gains (losses) on financial assets</w:t>
      </w:r>
    </w:p>
    <w:p w:rsidR="00E168A1" w:rsidRDefault="00E168A1" w:rsidP="00E168A1">
      <w:pPr>
        <w:pStyle w:val="BodyText"/>
        <w:numPr>
          <w:ilvl w:val="1"/>
          <w:numId w:val="12"/>
        </w:numPr>
      </w:pPr>
      <w:r>
        <w:t>Interest income might not be disclosed separately on the income statement. It may be netted against the interest expense or it may be in other income. You have to read the notes for details.</w:t>
      </w:r>
    </w:p>
    <w:p w:rsidR="00E168A1" w:rsidRDefault="00E168A1" w:rsidP="00E168A1">
      <w:pPr>
        <w:pStyle w:val="BodyText"/>
        <w:numPr>
          <w:ilvl w:val="0"/>
          <w:numId w:val="12"/>
        </w:numPr>
      </w:pPr>
      <w:r>
        <w:t>Refer to the negative of the input row for financial income.</w:t>
      </w:r>
    </w:p>
    <w:p w:rsidR="00E168A1" w:rsidRDefault="00E168A1" w:rsidP="00E168A1">
      <w:pPr>
        <w:pStyle w:val="BodyText"/>
        <w:numPr>
          <w:ilvl w:val="0"/>
          <w:numId w:val="12"/>
        </w:numPr>
      </w:pPr>
      <w:r>
        <w:t>Net financial (income) expense</w:t>
      </w:r>
      <w:r w:rsidR="00282C50">
        <w:t xml:space="preserve"> [NFE]</w:t>
      </w:r>
      <w:r>
        <w:t xml:space="preserve"> = Financial expense – Financial income</w:t>
      </w:r>
    </w:p>
    <w:p w:rsidR="00E168A1" w:rsidRDefault="00E168A1" w:rsidP="00E168A1">
      <w:pPr>
        <w:pStyle w:val="BodyText"/>
        <w:numPr>
          <w:ilvl w:val="1"/>
          <w:numId w:val="12"/>
        </w:numPr>
      </w:pPr>
      <w:r>
        <w:t>This is before taxes.</w:t>
      </w:r>
    </w:p>
    <w:p w:rsidR="00E168A1" w:rsidRDefault="00E168A1" w:rsidP="00E168A1">
      <w:pPr>
        <w:pStyle w:val="BodyText"/>
        <w:numPr>
          <w:ilvl w:val="0"/>
          <w:numId w:val="12"/>
        </w:numPr>
      </w:pPr>
      <w:r>
        <w:t>Input: Tax rate on financial activities</w:t>
      </w:r>
      <w:r w:rsidR="00282C50">
        <w:t xml:space="preserve"> [t</w:t>
      </w:r>
      <w:r w:rsidR="00282C50" w:rsidRPr="00282C50">
        <w:rPr>
          <w:vertAlign w:val="subscript"/>
        </w:rPr>
        <w:t>f</w:t>
      </w:r>
      <w:r w:rsidR="00282C50">
        <w:t>]</w:t>
      </w:r>
    </w:p>
    <w:p w:rsidR="00E168A1" w:rsidRDefault="00E168A1" w:rsidP="00E168A1">
      <w:pPr>
        <w:pStyle w:val="BodyText"/>
        <w:numPr>
          <w:ilvl w:val="1"/>
          <w:numId w:val="12"/>
        </w:numPr>
      </w:pPr>
      <w:r>
        <w:t>Typically, statutory federal rate [35%] adjusted for state and local taxes [2%]. Can be different if financial activities occur outside US.</w:t>
      </w:r>
    </w:p>
    <w:p w:rsidR="00E168A1" w:rsidRDefault="00E168A1" w:rsidP="00E168A1">
      <w:pPr>
        <w:pStyle w:val="BodyText"/>
        <w:numPr>
          <w:ilvl w:val="1"/>
          <w:numId w:val="12"/>
        </w:numPr>
      </w:pPr>
      <w:r>
        <w:t>Some companies have tax-exempt financial income. That can also affect the tax rate.</w:t>
      </w:r>
    </w:p>
    <w:p w:rsidR="00E168A1" w:rsidRDefault="00E168A1" w:rsidP="00E168A1">
      <w:pPr>
        <w:pStyle w:val="BodyText"/>
        <w:numPr>
          <w:ilvl w:val="0"/>
          <w:numId w:val="12"/>
        </w:numPr>
      </w:pPr>
      <w:r>
        <w:t>Tax shield due to net financial expense = net financial expense (income) * tax rate on financial activities</w:t>
      </w:r>
    </w:p>
    <w:p w:rsidR="00D80F97" w:rsidRDefault="00D80F97" w:rsidP="00D80F97">
      <w:pPr>
        <w:pStyle w:val="BodyText"/>
        <w:numPr>
          <w:ilvl w:val="0"/>
          <w:numId w:val="12"/>
        </w:numPr>
      </w:pPr>
      <w:r>
        <w:t xml:space="preserve">Net financial expense after tax </w:t>
      </w:r>
      <w:r w:rsidR="00282C50" w:rsidRPr="00282C50">
        <w:t>[NFEAT]</w:t>
      </w:r>
      <w:r w:rsidR="00282C50">
        <w:t xml:space="preserve"> </w:t>
      </w:r>
      <w:r>
        <w:t>= Net financial expense - Tax shield due to net financial expense.</w:t>
      </w:r>
    </w:p>
    <w:p w:rsidR="00F10F10" w:rsidRDefault="00F10F10" w:rsidP="00F10F10">
      <w:pPr>
        <w:pStyle w:val="BodyText"/>
        <w:numPr>
          <w:ilvl w:val="0"/>
          <w:numId w:val="12"/>
        </w:numPr>
      </w:pPr>
      <w:r>
        <w:t xml:space="preserve">Enterprise profit after tax </w:t>
      </w:r>
      <w:r w:rsidR="006C73A8">
        <w:t>[EPAT]</w:t>
      </w:r>
      <w:r>
        <w:t xml:space="preserve"> = </w:t>
      </w:r>
      <w:r w:rsidR="006C73A8">
        <w:t>Net income [NI]  + Net financial expense after tax [NFEAT]</w:t>
      </w:r>
    </w:p>
    <w:p w:rsidR="00F10F10" w:rsidRDefault="00F10F10" w:rsidP="00F10F10">
      <w:pPr>
        <w:pStyle w:val="BodyText"/>
        <w:numPr>
          <w:ilvl w:val="1"/>
          <w:numId w:val="12"/>
        </w:numPr>
      </w:pPr>
      <w:r>
        <w:t>This is what the net income would be if the firm had no financial assets and financial liabilities. This is why it is called pre-financing or unlevered net income.</w:t>
      </w:r>
    </w:p>
    <w:p w:rsidR="00864705" w:rsidRDefault="00864705">
      <w:pPr>
        <w:pStyle w:val="Heading2"/>
      </w:pPr>
      <w:r>
        <w:t>Balance sheet: Enterprise vs. financial activities</w:t>
      </w:r>
    </w:p>
    <w:p w:rsidR="00864705" w:rsidRDefault="00F34736">
      <w:r>
        <w:rPr>
          <w:noProof/>
        </w:rPr>
        <mc:AlternateContent>
          <mc:Choice Requires="wpg">
            <w:drawing>
              <wp:inline distT="0" distB="0" distL="0" distR="0">
                <wp:extent cx="5377180" cy="1111250"/>
                <wp:effectExtent l="19050" t="19050" r="13970" b="12700"/>
                <wp:docPr id="1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180" cy="1111250"/>
                          <a:chOff x="1316" y="47"/>
                          <a:chExt cx="8468" cy="1750"/>
                        </a:xfrm>
                      </wpg:grpSpPr>
                      <wps:wsp>
                        <wps:cNvPr id="11" name="Text Box 132"/>
                        <wps:cNvSpPr txBox="1">
                          <a:spLocks noChangeArrowheads="1"/>
                        </wps:cNvSpPr>
                        <wps:spPr bwMode="auto">
                          <a:xfrm>
                            <a:off x="1316" y="47"/>
                            <a:ext cx="3900" cy="1332"/>
                          </a:xfrm>
                          <a:prstGeom prst="rect">
                            <a:avLst/>
                          </a:prstGeom>
                          <a:gradFill rotWithShape="1">
                            <a:gsLst>
                              <a:gs pos="0">
                                <a:srgbClr val="FFFFFF"/>
                              </a:gs>
                              <a:gs pos="100000">
                                <a:srgbClr val="CCECFF"/>
                              </a:gs>
                            </a:gsLst>
                            <a:path path="shape">
                              <a:fillToRect l="50000" t="50000" r="50000" b="50000"/>
                            </a:path>
                          </a:gradFill>
                          <a:ln w="254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33AE" w:rsidRDefault="00BA33AE" w:rsidP="00081FD4">
                              <w:pPr>
                                <w:jc w:val="center"/>
                              </w:pPr>
                            </w:p>
                            <w:p w:rsidR="00BA33AE" w:rsidRDefault="00BA33AE" w:rsidP="00081FD4">
                              <w:pPr>
                                <w:jc w:val="center"/>
                              </w:pPr>
                              <w:smartTag w:uri="urn:schemas-microsoft-com:office:smarttags" w:element="place">
                                <w:smartTag w:uri="urn:schemas-microsoft-com:office:smarttags" w:element="City">
                                  <w:r>
                                    <w:t>Enterprise</w:t>
                                  </w:r>
                                </w:smartTag>
                              </w:smartTag>
                              <w:r>
                                <w:t xml:space="preserve"> assets</w:t>
                              </w:r>
                            </w:p>
                          </w:txbxContent>
                        </wps:txbx>
                        <wps:bodyPr rot="0" vert="horz" wrap="square" lIns="91440" tIns="45720" rIns="91440" bIns="45720" anchor="t" anchorCtr="0" upright="1">
                          <a:noAutofit/>
                        </wps:bodyPr>
                      </wps:wsp>
                      <wps:wsp>
                        <wps:cNvPr id="12" name="Text Box 133"/>
                        <wps:cNvSpPr txBox="1">
                          <a:spLocks noChangeArrowheads="1"/>
                        </wps:cNvSpPr>
                        <wps:spPr bwMode="auto">
                          <a:xfrm>
                            <a:off x="5334" y="47"/>
                            <a:ext cx="4450" cy="545"/>
                          </a:xfrm>
                          <a:prstGeom prst="rect">
                            <a:avLst/>
                          </a:prstGeom>
                          <a:gradFill rotWithShape="1">
                            <a:gsLst>
                              <a:gs pos="0">
                                <a:srgbClr val="FFFFFF"/>
                              </a:gs>
                              <a:gs pos="100000">
                                <a:srgbClr val="CCECFF"/>
                              </a:gs>
                            </a:gsLst>
                            <a:path path="shape">
                              <a:fillToRect l="50000" t="50000" r="50000" b="50000"/>
                            </a:path>
                          </a:gradFill>
                          <a:ln w="25400" cmpd="dbl">
                            <a:solidFill>
                              <a:srgbClr val="000000"/>
                            </a:solidFill>
                            <a:miter lim="800000"/>
                            <a:headEnd/>
                            <a:tailEnd/>
                          </a:ln>
                        </wps:spPr>
                        <wps:txbx>
                          <w:txbxContent>
                            <w:p w:rsidR="00BA33AE" w:rsidRDefault="00BA33AE" w:rsidP="00081FD4">
                              <w:pPr>
                                <w:jc w:val="center"/>
                              </w:pPr>
                              <w:smartTag w:uri="urn:schemas-microsoft-com:office:smarttags" w:element="place">
                                <w:smartTag w:uri="urn:schemas-microsoft-com:office:smarttags" w:element="City">
                                  <w:r>
                                    <w:t>Enterprise</w:t>
                                  </w:r>
                                </w:smartTag>
                              </w:smartTag>
                              <w:r>
                                <w:t xml:space="preserve"> liabilities</w:t>
                              </w:r>
                            </w:p>
                          </w:txbxContent>
                        </wps:txbx>
                        <wps:bodyPr rot="0" vert="horz" wrap="square" lIns="91440" tIns="45720" rIns="91440" bIns="45720" anchor="t" anchorCtr="0" upright="1">
                          <a:noAutofit/>
                        </wps:bodyPr>
                      </wps:wsp>
                      <wps:wsp>
                        <wps:cNvPr id="13" name="Text Box 134"/>
                        <wps:cNvSpPr txBox="1">
                          <a:spLocks noChangeArrowheads="1"/>
                        </wps:cNvSpPr>
                        <wps:spPr bwMode="auto">
                          <a:xfrm>
                            <a:off x="1316" y="1454"/>
                            <a:ext cx="3900" cy="34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33AE" w:rsidRDefault="00BA33AE" w:rsidP="00081FD4">
                              <w:pPr>
                                <w:jc w:val="center"/>
                              </w:pPr>
                              <w:r>
                                <w:t>Financial assets</w:t>
                              </w:r>
                            </w:p>
                          </w:txbxContent>
                        </wps:txbx>
                        <wps:bodyPr rot="0" vert="horz" wrap="square" lIns="91440" tIns="45720" rIns="91440" bIns="45720" anchor="t" anchorCtr="0" upright="1">
                          <a:noAutofit/>
                        </wps:bodyPr>
                      </wps:wsp>
                      <wps:wsp>
                        <wps:cNvPr id="14" name="Text Box 135"/>
                        <wps:cNvSpPr txBox="1">
                          <a:spLocks noChangeArrowheads="1"/>
                        </wps:cNvSpPr>
                        <wps:spPr bwMode="auto">
                          <a:xfrm>
                            <a:off x="5334" y="658"/>
                            <a:ext cx="4450" cy="4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33AE" w:rsidRDefault="00BA33AE" w:rsidP="00081FD4">
                              <w:pPr>
                                <w:jc w:val="center"/>
                              </w:pPr>
                              <w:r>
                                <w:t>Financial liabilities</w:t>
                              </w:r>
                            </w:p>
                          </w:txbxContent>
                        </wps:txbx>
                        <wps:bodyPr rot="0" vert="horz" wrap="square" lIns="91440" tIns="45720" rIns="91440" bIns="45720" anchor="t" anchorCtr="0" upright="1">
                          <a:noAutofit/>
                        </wps:bodyPr>
                      </wps:wsp>
                      <wps:wsp>
                        <wps:cNvPr id="15" name="Text Box 136"/>
                        <wps:cNvSpPr txBox="1">
                          <a:spLocks noChangeArrowheads="1"/>
                        </wps:cNvSpPr>
                        <wps:spPr bwMode="auto">
                          <a:xfrm>
                            <a:off x="5334" y="1158"/>
                            <a:ext cx="4450" cy="63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33AE" w:rsidRDefault="00BA33AE" w:rsidP="00081FD4">
                              <w:pPr>
                                <w:pStyle w:val="6pointSpacer"/>
                              </w:pPr>
                            </w:p>
                            <w:p w:rsidR="00BA33AE" w:rsidRDefault="00BA33AE" w:rsidP="00081FD4">
                              <w:pPr>
                                <w:jc w:val="center"/>
                              </w:pPr>
                              <w:r>
                                <w:t>Equity</w:t>
                              </w:r>
                            </w:p>
                          </w:txbxContent>
                        </wps:txbx>
                        <wps:bodyPr rot="0" vert="horz" wrap="square" lIns="91440" tIns="45720" rIns="91440" bIns="45720" anchor="t" anchorCtr="0" upright="1">
                          <a:noAutofit/>
                        </wps:bodyPr>
                      </wps:wsp>
                    </wpg:wgp>
                  </a:graphicData>
                </a:graphic>
              </wp:inline>
            </w:drawing>
          </mc:Choice>
          <mc:Fallback>
            <w:pict>
              <v:group id="Group 131" o:spid="_x0000_s1026" style="width:423.4pt;height:87.5pt;mso-position-horizontal-relative:char;mso-position-vertical-relative:line" coordorigin="1316,47" coordsize="8468,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">
                <v:shapetype id="_x0000_t202" coordsize="21600,21600" o:spt="202" path="m,l,21600r21600,l21600,xe">
                  <v:stroke joinstyle="miter"/>
                  <v:path gradientshapeok="t" o:connecttype="rect"/>
                </v:shapetype>
                <v:shape id="Text Box 132" o:spid="_x0000_s1027" type="#_x0000_t202" style="position:absolute;left:1316;top:47;width:390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" strokeweight="2pt">
                  <v:fill color2="#ccecff" rotate="t" focusposition=".5,.5" focussize="" focus="100%" type="gradientRadial"/>
                  <v:stroke linestyle="thinThin"/>
                  <v:textbox>
                    <w:txbxContent>
                      <w:p w:rsidR="00BA33AE" w:rsidRDefault="00BA33AE" w:rsidP="00081FD4">
                        <w:pPr>
                          <w:jc w:val="center"/>
                        </w:pPr>
                      </w:p>
                      <w:p w:rsidR="00BA33AE" w:rsidRDefault="00BA33AE" w:rsidP="00081FD4">
                        <w:pPr>
                          <w:jc w:val="center"/>
                        </w:pPr>
                        <w:smartTag w:uri="urn:schemas-microsoft-com:office:smarttags" w:element="place">
                          <w:smartTag w:uri="urn:schemas-microsoft-com:office:smarttags" w:element="City">
                            <w:r>
                              <w:t>Enterprise</w:t>
                            </w:r>
                          </w:smartTag>
                        </w:smartTag>
                        <w:r>
                          <w:t xml:space="preserve"> assets</w:t>
                        </w:r>
                      </w:p>
                    </w:txbxContent>
                  </v:textbox>
                </v:shape>
                <v:shape id="Text Box 133" o:spid="_x0000_s1028" type="#_x0000_t202" style="position:absolute;left:5334;top:47;width:445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" strokeweight="2pt">
                  <v:fill color2="#ccecff" rotate="t" focusposition=".5,.5" focussize="" focus="100%" type="gradientRadial"/>
                  <v:stroke linestyle="thinThin"/>
                  <v:textbox>
                    <w:txbxContent>
                      <w:p w:rsidR="00BA33AE" w:rsidRDefault="00BA33AE" w:rsidP="00081FD4">
                        <w:pPr>
                          <w:jc w:val="center"/>
                        </w:pPr>
                        <w:smartTag w:uri="urn:schemas-microsoft-com:office:smarttags" w:element="place">
                          <w:smartTag w:uri="urn:schemas-microsoft-com:office:smarttags" w:element="City">
                            <w:r>
                              <w:t>Enterprise</w:t>
                            </w:r>
                          </w:smartTag>
                        </w:smartTag>
                        <w:r>
                          <w:t xml:space="preserve"> liabilities</w:t>
                        </w:r>
                      </w:p>
                    </w:txbxContent>
                  </v:textbox>
                </v:shape>
                <v:shape id="Text Box 134" o:spid="_x0000_s1029" type="#_x0000_t202" style="position:absolute;left:1316;top:1454;width:390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" filled="f" strokeweight=".25pt">
                  <v:textbox>
                    <w:txbxContent>
                      <w:p w:rsidR="00BA33AE" w:rsidRDefault="00BA33AE" w:rsidP="00081FD4">
                        <w:pPr>
                          <w:jc w:val="center"/>
                        </w:pPr>
                        <w:r>
                          <w:t>Financial assets</w:t>
                        </w:r>
                      </w:p>
                    </w:txbxContent>
                  </v:textbox>
                </v:shape>
                <v:shape id="Text Box 135" o:spid="_x0000_s1030" type="#_x0000_t202" style="position:absolute;left:5334;top:658;width:445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" filled="f" strokeweight=".25pt">
                  <v:textbox>
                    <w:txbxContent>
                      <w:p w:rsidR="00BA33AE" w:rsidRDefault="00BA33AE" w:rsidP="00081FD4">
                        <w:pPr>
                          <w:jc w:val="center"/>
                        </w:pPr>
                        <w:r>
                          <w:t>Financial liabilities</w:t>
                        </w:r>
                      </w:p>
                    </w:txbxContent>
                  </v:textbox>
                </v:shape>
                <v:shape id="Text Box 136" o:spid="_x0000_s1031" type="#_x0000_t202" style="position:absolute;left:5334;top:1158;width:4450;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" filled="f" strokeweight=".25pt">
                  <v:textbox>
                    <w:txbxContent>
                      <w:p w:rsidR="00BA33AE" w:rsidRDefault="00BA33AE" w:rsidP="00081FD4">
                        <w:pPr>
                          <w:pStyle w:val="6pointSpacer"/>
                        </w:pPr>
                      </w:p>
                      <w:p w:rsidR="00BA33AE" w:rsidRDefault="00BA33AE" w:rsidP="00081FD4">
                        <w:pPr>
                          <w:jc w:val="center"/>
                        </w:pPr>
                        <w:r>
                          <w:t>Equity</w:t>
                        </w:r>
                      </w:p>
                    </w:txbxContent>
                  </v:textbox>
                </v:shape>
                <w10:anchorlock/>
              </v:group>
            </w:pict>
          </mc:Fallback>
        </mc:AlternateContent>
      </w:r>
    </w:p>
    <w:p w:rsidR="00081FD4" w:rsidRDefault="00081FD4"/>
    <w:p w:rsidR="00AC3CFB" w:rsidRDefault="00F34736">
      <w:r>
        <w:rPr>
          <w:noProof/>
        </w:rPr>
        <mc:AlternateContent>
          <mc:Choice Requires="wpg">
            <w:drawing>
              <wp:inline distT="0" distB="0" distL="0" distR="0">
                <wp:extent cx="5377180" cy="1245235"/>
                <wp:effectExtent l="19050" t="0" r="13970" b="21590"/>
                <wp:docPr id="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180" cy="1245235"/>
                          <a:chOff x="1316" y="4140"/>
                          <a:chExt cx="8468" cy="1961"/>
                        </a:xfrm>
                      </wpg:grpSpPr>
                      <wps:wsp>
                        <wps:cNvPr id="5" name="Text Box 138"/>
                        <wps:cNvSpPr txBox="1">
                          <a:spLocks noChangeArrowheads="1"/>
                        </wps:cNvSpPr>
                        <wps:spPr bwMode="auto">
                          <a:xfrm>
                            <a:off x="1316" y="4649"/>
                            <a:ext cx="3900" cy="1452"/>
                          </a:xfrm>
                          <a:prstGeom prst="rect">
                            <a:avLst/>
                          </a:prstGeom>
                          <a:gradFill rotWithShape="1">
                            <a:gsLst>
                              <a:gs pos="0">
                                <a:srgbClr val="FFFFFF"/>
                              </a:gs>
                              <a:gs pos="100000">
                                <a:srgbClr val="CCECFF"/>
                              </a:gs>
                            </a:gsLst>
                            <a:path path="shape">
                              <a:fillToRect l="50000" t="50000" r="50000" b="50000"/>
                            </a:path>
                          </a:gradFill>
                          <a:ln w="254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33AE" w:rsidRDefault="00BA33AE" w:rsidP="00081FD4">
                              <w:pPr>
                                <w:jc w:val="center"/>
                              </w:pPr>
                            </w:p>
                            <w:p w:rsidR="00BA33AE" w:rsidRDefault="00BA33AE" w:rsidP="00081FD4">
                              <w:pPr>
                                <w:jc w:val="center"/>
                              </w:pPr>
                              <w:smartTag w:uri="urn:schemas-microsoft-com:office:smarttags" w:element="City">
                                <w:smartTag w:uri="urn:schemas-microsoft-com:office:smarttags" w:element="place">
                                  <w:r>
                                    <w:t>Enterprise</w:t>
                                  </w:r>
                                </w:smartTag>
                              </w:smartTag>
                              <w:r>
                                <w:t xml:space="preserve"> assets – enterprise liabilities</w:t>
                              </w:r>
                            </w:p>
                            <w:p w:rsidR="00BA33AE" w:rsidRDefault="00BA33AE" w:rsidP="00081FD4">
                              <w:pPr>
                                <w:pStyle w:val="6pointSpacer"/>
                              </w:pPr>
                            </w:p>
                            <w:p w:rsidR="00BA33AE" w:rsidRDefault="00BA33AE" w:rsidP="00081FD4">
                              <w:pPr>
                                <w:jc w:val="center"/>
                              </w:pPr>
                              <w:r>
                                <w:t xml:space="preserve">Correspond to </w:t>
                              </w:r>
                              <w:smartTag w:uri="urn:schemas-microsoft-com:office:smarttags" w:element="City">
                                <w:smartTag w:uri="urn:schemas-microsoft-com:office:smarttags" w:element="place">
                                  <w:r>
                                    <w:t>Enterprise</w:t>
                                  </w:r>
                                </w:smartTag>
                              </w:smartTag>
                              <w:r>
                                <w:t xml:space="preserve"> profit after tax</w:t>
                              </w:r>
                            </w:p>
                          </w:txbxContent>
                        </wps:txbx>
                        <wps:bodyPr rot="0" vert="horz" wrap="square" lIns="91440" tIns="45720" rIns="91440" bIns="45720" anchor="t" anchorCtr="0" upright="1">
                          <a:noAutofit/>
                        </wps:bodyPr>
                      </wps:wsp>
                      <wps:wsp>
                        <wps:cNvPr id="6" name="Text Box 139"/>
                        <wps:cNvSpPr txBox="1">
                          <a:spLocks noChangeArrowheads="1"/>
                        </wps:cNvSpPr>
                        <wps:spPr bwMode="auto">
                          <a:xfrm>
                            <a:off x="5334" y="4640"/>
                            <a:ext cx="4450" cy="78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33AE" w:rsidRDefault="00BA33AE" w:rsidP="00081FD4">
                              <w:pPr>
                                <w:jc w:val="center"/>
                              </w:pPr>
                              <w:r>
                                <w:t>Financial liabilities – financial assets</w:t>
                              </w:r>
                            </w:p>
                            <w:p w:rsidR="00BA33AE" w:rsidRDefault="00BA33AE" w:rsidP="00081FD4">
                              <w:pPr>
                                <w:jc w:val="center"/>
                              </w:pPr>
                              <w:r>
                                <w:t>=Net financial liabilities</w:t>
                              </w:r>
                            </w:p>
                            <w:p w:rsidR="00BA33AE" w:rsidRDefault="00BA33AE" w:rsidP="00081FD4">
                              <w:pPr>
                                <w:jc w:val="center"/>
                              </w:pPr>
                              <w:r>
                                <w:t>Correspond to Net financial expense after tax</w:t>
                              </w:r>
                            </w:p>
                          </w:txbxContent>
                        </wps:txbx>
                        <wps:bodyPr rot="0" vert="horz" wrap="square" lIns="91440" tIns="0" rIns="91440" bIns="0" anchor="t" anchorCtr="0" upright="1">
                          <a:noAutofit/>
                        </wps:bodyPr>
                      </wps:wsp>
                      <wps:wsp>
                        <wps:cNvPr id="7" name="Text Box 140"/>
                        <wps:cNvSpPr txBox="1">
                          <a:spLocks noChangeArrowheads="1"/>
                        </wps:cNvSpPr>
                        <wps:spPr bwMode="auto">
                          <a:xfrm>
                            <a:off x="5334" y="5490"/>
                            <a:ext cx="4450" cy="61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33AE" w:rsidRDefault="00BA33AE" w:rsidP="00081FD4">
                              <w:pPr>
                                <w:jc w:val="center"/>
                              </w:pPr>
                              <w:r>
                                <w:t>Equity</w:t>
                              </w:r>
                            </w:p>
                            <w:p w:rsidR="00BA33AE" w:rsidRDefault="00BA33AE" w:rsidP="00081FD4">
                              <w:pPr>
                                <w:jc w:val="center"/>
                              </w:pPr>
                              <w:r>
                                <w:t>Corresponds to Net income</w:t>
                              </w:r>
                            </w:p>
                          </w:txbxContent>
                        </wps:txbx>
                        <wps:bodyPr rot="0" vert="horz" wrap="square" lIns="91440" tIns="0" rIns="91440" bIns="0" anchor="t" anchorCtr="0" upright="1">
                          <a:noAutofit/>
                        </wps:bodyPr>
                      </wps:wsp>
                      <wps:wsp>
                        <wps:cNvPr id="8" name="Text Box 141"/>
                        <wps:cNvSpPr txBox="1">
                          <a:spLocks noChangeArrowheads="1"/>
                        </wps:cNvSpPr>
                        <wps:spPr bwMode="auto">
                          <a:xfrm>
                            <a:off x="1727" y="4140"/>
                            <a:ext cx="3078" cy="397"/>
                          </a:xfrm>
                          <a:prstGeom prst="rect">
                            <a:avLst/>
                          </a:prstGeom>
                          <a:solidFill>
                            <a:srgbClr val="CCFFCC"/>
                          </a:solidFill>
                          <a:ln>
                            <a:noFill/>
                          </a:ln>
                          <a:effectLst/>
                          <a:extLst>
                            <a:ext uri="{91240B29-F687-4F45-9708-019B960494DF}">
                              <a14:hiddenLine xmlns:a14="http://schemas.microsoft.com/office/drawing/2010/main" w="25400" cmpd="dbl"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33AE" w:rsidRDefault="00BA33AE" w:rsidP="00081FD4">
                              <w:pPr>
                                <w:jc w:val="center"/>
                              </w:pPr>
                              <w:r>
                                <w:t>Use of capital</w:t>
                              </w:r>
                            </w:p>
                          </w:txbxContent>
                        </wps:txbx>
                        <wps:bodyPr rot="0" vert="horz" wrap="square" lIns="91440" tIns="45720" rIns="91440" bIns="45720" anchor="t" anchorCtr="0" upright="1">
                          <a:spAutoFit/>
                        </wps:bodyPr>
                      </wps:wsp>
                      <wps:wsp>
                        <wps:cNvPr id="9" name="Text Box 142"/>
                        <wps:cNvSpPr txBox="1">
                          <a:spLocks noChangeArrowheads="1"/>
                        </wps:cNvSpPr>
                        <wps:spPr bwMode="auto">
                          <a:xfrm>
                            <a:off x="5821" y="4140"/>
                            <a:ext cx="3477" cy="397"/>
                          </a:xfrm>
                          <a:prstGeom prst="rect">
                            <a:avLst/>
                          </a:prstGeom>
                          <a:solidFill>
                            <a:srgbClr val="CCFFCC"/>
                          </a:solidFill>
                          <a:ln>
                            <a:noFill/>
                          </a:ln>
                          <a:effectLst/>
                          <a:extLst>
                            <a:ext uri="{91240B29-F687-4F45-9708-019B960494DF}">
                              <a14:hiddenLine xmlns:a14="http://schemas.microsoft.com/office/drawing/2010/main" w="25400" cmpd="dbl"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33AE" w:rsidRDefault="00BA33AE" w:rsidP="00081FD4">
                              <w:pPr>
                                <w:jc w:val="center"/>
                              </w:pPr>
                              <w:r>
                                <w:t>Source of capital</w:t>
                              </w:r>
                            </w:p>
                          </w:txbxContent>
                        </wps:txbx>
                        <wps:bodyPr rot="0" vert="horz" wrap="square" lIns="91440" tIns="45720" rIns="91440" bIns="45720" anchor="t" anchorCtr="0" upright="1">
                          <a:spAutoFit/>
                        </wps:bodyPr>
                      </wps:wsp>
                    </wpg:wgp>
                  </a:graphicData>
                </a:graphic>
              </wp:inline>
            </w:drawing>
          </mc:Choice>
          <mc:Fallback>
            <w:pict>
              <v:group id="Group 137" o:spid="_x0000_s1032" style="width:423.4pt;height:98.05pt;mso-position-horizontal-relative:char;mso-position-vertical-relative:line" coordorigin="1316,4140" coordsize="8468,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">
                <v:shape id="Text Box 138" o:spid="_x0000_s1033" type="#_x0000_t202" style="position:absolute;left:1316;top:4649;width:3900;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" strokeweight="2pt">
                  <v:fill color2="#ccecff" rotate="t" focusposition=".5,.5" focussize="" focus="100%" type="gradientRadial"/>
                  <v:stroke linestyle="thinThin"/>
                  <v:textbox>
                    <w:txbxContent>
                      <w:p w:rsidR="00BA33AE" w:rsidRDefault="00BA33AE" w:rsidP="00081FD4">
                        <w:pPr>
                          <w:jc w:val="center"/>
                        </w:pPr>
                      </w:p>
                      <w:p w:rsidR="00BA33AE" w:rsidRDefault="00BA33AE" w:rsidP="00081FD4">
                        <w:pPr>
                          <w:jc w:val="center"/>
                        </w:pPr>
                        <w:smartTag w:uri="urn:schemas-microsoft-com:office:smarttags" w:element="City">
                          <w:smartTag w:uri="urn:schemas-microsoft-com:office:smarttags" w:element="place">
                            <w:r>
                              <w:t>Enterprise</w:t>
                            </w:r>
                          </w:smartTag>
                        </w:smartTag>
                        <w:r>
                          <w:t xml:space="preserve"> assets – enterprise liabilities</w:t>
                        </w:r>
                      </w:p>
                      <w:p w:rsidR="00BA33AE" w:rsidRDefault="00BA33AE" w:rsidP="00081FD4">
                        <w:pPr>
                          <w:pStyle w:val="6pointSpacer"/>
                        </w:pPr>
                      </w:p>
                      <w:p w:rsidR="00BA33AE" w:rsidRDefault="00BA33AE" w:rsidP="00081FD4">
                        <w:pPr>
                          <w:jc w:val="center"/>
                        </w:pPr>
                        <w:r>
                          <w:t xml:space="preserve">Correspond to </w:t>
                        </w:r>
                        <w:smartTag w:uri="urn:schemas-microsoft-com:office:smarttags" w:element="City">
                          <w:smartTag w:uri="urn:schemas-microsoft-com:office:smarttags" w:element="place">
                            <w:r>
                              <w:t>Enterprise</w:t>
                            </w:r>
                          </w:smartTag>
                        </w:smartTag>
                        <w:r>
                          <w:t xml:space="preserve"> profit after tax</w:t>
                        </w:r>
                      </w:p>
                    </w:txbxContent>
                  </v:textbox>
                </v:shape>
                <v:shape id="Text Box 139" o:spid="_x0000_s1034" type="#_x0000_t202" style="position:absolute;left:5334;top:4640;width:4450;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" filled="f" strokeweight=".25pt">
                  <v:textbox inset=",0,,0">
                    <w:txbxContent>
                      <w:p w:rsidR="00BA33AE" w:rsidRDefault="00BA33AE" w:rsidP="00081FD4">
                        <w:pPr>
                          <w:jc w:val="center"/>
                        </w:pPr>
                        <w:r>
                          <w:t>Financial liabilities – financial assets</w:t>
                        </w:r>
                      </w:p>
                      <w:p w:rsidR="00BA33AE" w:rsidRDefault="00BA33AE" w:rsidP="00081FD4">
                        <w:pPr>
                          <w:jc w:val="center"/>
                        </w:pPr>
                        <w:r>
                          <w:t>=Net financial liabilities</w:t>
                        </w:r>
                      </w:p>
                      <w:p w:rsidR="00BA33AE" w:rsidRDefault="00BA33AE" w:rsidP="00081FD4">
                        <w:pPr>
                          <w:jc w:val="center"/>
                        </w:pPr>
                        <w:r>
                          <w:t>Correspond to Net financial expense after tax</w:t>
                        </w:r>
                      </w:p>
                    </w:txbxContent>
                  </v:textbox>
                </v:shape>
                <v:shape id="Text Box 140" o:spid="_x0000_s1035" type="#_x0000_t202" style="position:absolute;left:5334;top:5490;width:445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" filled="f" strokeweight=".25pt">
                  <v:textbox inset=",0,,0">
                    <w:txbxContent>
                      <w:p w:rsidR="00BA33AE" w:rsidRDefault="00BA33AE" w:rsidP="00081FD4">
                        <w:pPr>
                          <w:jc w:val="center"/>
                        </w:pPr>
                        <w:r>
                          <w:t>Equity</w:t>
                        </w:r>
                      </w:p>
                      <w:p w:rsidR="00BA33AE" w:rsidRDefault="00BA33AE" w:rsidP="00081FD4">
                        <w:pPr>
                          <w:jc w:val="center"/>
                        </w:pPr>
                        <w:r>
                          <w:t>Corresponds to Net income</w:t>
                        </w:r>
                      </w:p>
                    </w:txbxContent>
                  </v:textbox>
                </v:shape>
                <v:shape id="Text Box 141" o:spid="_x0000_s1036" type="#_x0000_t202" style="position:absolute;left:1727;top:4140;width:307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" fillcolor="#cfc" stroked="f" strokeweight="2pt">
                  <v:stroke linestyle="thinThin"/>
                  <v:textbox style="mso-fit-shape-to-text:t">
                    <w:txbxContent>
                      <w:p w:rsidR="00BA33AE" w:rsidRDefault="00BA33AE" w:rsidP="00081FD4">
                        <w:pPr>
                          <w:jc w:val="center"/>
                        </w:pPr>
                        <w:r>
                          <w:t>Use of capital</w:t>
                        </w:r>
                      </w:p>
                    </w:txbxContent>
                  </v:textbox>
                </v:shape>
                <v:shape id="Text Box 142" o:spid="_x0000_s1037" type="#_x0000_t202" style="position:absolute;left:5821;top:4140;width:347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" fillcolor="#cfc" stroked="f" strokeweight="2pt">
                  <v:stroke linestyle="thinThin"/>
                  <v:textbox style="mso-fit-shape-to-text:t">
                    <w:txbxContent>
                      <w:p w:rsidR="00BA33AE" w:rsidRDefault="00BA33AE" w:rsidP="00081FD4">
                        <w:pPr>
                          <w:jc w:val="center"/>
                        </w:pPr>
                        <w:r>
                          <w:t>Source of capital</w:t>
                        </w:r>
                      </w:p>
                    </w:txbxContent>
                  </v:textbox>
                </v:shape>
                <w10:anchorlock/>
              </v:group>
            </w:pict>
          </mc:Fallback>
        </mc:AlternateContent>
      </w:r>
    </w:p>
    <w:p w:rsidR="00AC3CFB" w:rsidRDefault="00AC3CFB" w:rsidP="00081FD4">
      <w:pPr>
        <w:pStyle w:val="6pointSpacer"/>
      </w:pPr>
    </w:p>
    <w:p w:rsidR="00081FD4" w:rsidRDefault="00081FD4" w:rsidP="00F10F10"/>
    <w:p w:rsidR="00081FD4" w:rsidRDefault="00F34736">
      <w:r>
        <w:rPr>
          <w:noProof/>
        </w:rPr>
        <mc:AlternateContent>
          <mc:Choice Requires="wpg">
            <w:drawing>
              <wp:inline distT="0" distB="0" distL="0" distR="0">
                <wp:extent cx="5377180" cy="487680"/>
                <wp:effectExtent l="19050" t="19050" r="13970" b="17145"/>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180" cy="487680"/>
                          <a:chOff x="1316" y="2651"/>
                          <a:chExt cx="8468" cy="768"/>
                        </a:xfrm>
                      </wpg:grpSpPr>
                      <wps:wsp>
                        <wps:cNvPr id="2" name="Text Box 144"/>
                        <wps:cNvSpPr txBox="1">
                          <a:spLocks noChangeArrowheads="1"/>
                        </wps:cNvSpPr>
                        <wps:spPr bwMode="auto">
                          <a:xfrm>
                            <a:off x="1316" y="2651"/>
                            <a:ext cx="3900" cy="768"/>
                          </a:xfrm>
                          <a:prstGeom prst="rect">
                            <a:avLst/>
                          </a:prstGeom>
                          <a:gradFill rotWithShape="1">
                            <a:gsLst>
                              <a:gs pos="0">
                                <a:srgbClr val="FFFFFF"/>
                              </a:gs>
                              <a:gs pos="100000">
                                <a:srgbClr val="CCECFF"/>
                              </a:gs>
                            </a:gsLst>
                            <a:path path="shape">
                              <a:fillToRect l="50000" t="50000" r="50000" b="50000"/>
                            </a:path>
                          </a:gradFill>
                          <a:ln w="254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33AE" w:rsidRDefault="00BA33AE" w:rsidP="00081FD4">
                              <w:pPr>
                                <w:pStyle w:val="6pointSpacer"/>
                              </w:pPr>
                            </w:p>
                            <w:p w:rsidR="00BA33AE" w:rsidRDefault="00BA33AE" w:rsidP="00081FD4">
                              <w:pPr>
                                <w:jc w:val="center"/>
                              </w:pPr>
                              <w:r>
                                <w:t>Net enterprise assets</w:t>
                              </w:r>
                            </w:p>
                          </w:txbxContent>
                        </wps:txbx>
                        <wps:bodyPr rot="0" vert="horz" wrap="square" lIns="91440" tIns="45720" rIns="91440" bIns="45720" anchor="t" anchorCtr="0" upright="1">
                          <a:noAutofit/>
                        </wps:bodyPr>
                      </wps:wsp>
                      <wps:wsp>
                        <wps:cNvPr id="3" name="Text Box 145"/>
                        <wps:cNvSpPr txBox="1">
                          <a:spLocks noChangeArrowheads="1"/>
                        </wps:cNvSpPr>
                        <wps:spPr bwMode="auto">
                          <a:xfrm>
                            <a:off x="5334" y="2651"/>
                            <a:ext cx="4450" cy="76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33AE" w:rsidRDefault="00BA33AE" w:rsidP="00081FD4">
                              <w:pPr>
                                <w:pStyle w:val="6pointSpacer"/>
                              </w:pPr>
                            </w:p>
                            <w:p w:rsidR="00BA33AE" w:rsidRDefault="00BA33AE" w:rsidP="00081FD4">
                              <w:pPr>
                                <w:jc w:val="center"/>
                              </w:pPr>
                              <w:smartTag w:uri="urn:schemas-microsoft-com:office:smarttags" w:element="City">
                                <w:smartTag w:uri="urn:schemas-microsoft-com:office:smarttags" w:element="place">
                                  <w:r>
                                    <w:t>Enterprise</w:t>
                                  </w:r>
                                </w:smartTag>
                              </w:smartTag>
                              <w:r>
                                <w:t xml:space="preserve"> capital or Invested capital</w:t>
                              </w:r>
                            </w:p>
                          </w:txbxContent>
                        </wps:txbx>
                        <wps:bodyPr rot="0" vert="horz" wrap="square" lIns="91440" tIns="45720" rIns="91440" bIns="45720" anchor="t" anchorCtr="0" upright="1">
                          <a:noAutofit/>
                        </wps:bodyPr>
                      </wps:wsp>
                    </wpg:wgp>
                  </a:graphicData>
                </a:graphic>
              </wp:inline>
            </w:drawing>
          </mc:Choice>
          <mc:Fallback>
            <w:pict>
              <v:group id="Group 143" o:spid="_x0000_s1038" style="width:423.4pt;height:38.4pt;mso-position-horizontal-relative:char;mso-position-vertical-relative:line" coordorigin="1316,2651" coordsize="846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">
                <v:shape id="Text Box 144" o:spid="_x0000_s1039" type="#_x0000_t202" style="position:absolute;left:1316;top:2651;width:3900;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" strokeweight="2pt">
                  <v:fill color2="#ccecff" rotate="t" focusposition=".5,.5" focussize="" focus="100%" type="gradientRadial"/>
                  <v:stroke linestyle="thinThin"/>
                  <v:textbox>
                    <w:txbxContent>
                      <w:p w:rsidR="00BA33AE" w:rsidRDefault="00BA33AE" w:rsidP="00081FD4">
                        <w:pPr>
                          <w:pStyle w:val="6pointSpacer"/>
                        </w:pPr>
                      </w:p>
                      <w:p w:rsidR="00BA33AE" w:rsidRDefault="00BA33AE" w:rsidP="00081FD4">
                        <w:pPr>
                          <w:jc w:val="center"/>
                        </w:pPr>
                        <w:r>
                          <w:t>Net enterprise assets</w:t>
                        </w:r>
                      </w:p>
                    </w:txbxContent>
                  </v:textbox>
                </v:shape>
                <v:shape id="Text Box 145" o:spid="_x0000_s1040" type="#_x0000_t202" style="position:absolute;left:5334;top:2651;width:4450;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" filled="f" strokeweight=".25pt">
                  <v:textbox>
                    <w:txbxContent>
                      <w:p w:rsidR="00BA33AE" w:rsidRDefault="00BA33AE" w:rsidP="00081FD4">
                        <w:pPr>
                          <w:pStyle w:val="6pointSpacer"/>
                        </w:pPr>
                      </w:p>
                      <w:p w:rsidR="00BA33AE" w:rsidRDefault="00BA33AE" w:rsidP="00081FD4">
                        <w:pPr>
                          <w:jc w:val="center"/>
                        </w:pPr>
                        <w:smartTag w:uri="urn:schemas-microsoft-com:office:smarttags" w:element="City">
                          <w:smartTag w:uri="urn:schemas-microsoft-com:office:smarttags" w:element="place">
                            <w:r>
                              <w:t>Enterprise</w:t>
                            </w:r>
                          </w:smartTag>
                        </w:smartTag>
                        <w:r>
                          <w:t xml:space="preserve"> capital or Invested capital</w:t>
                        </w:r>
                      </w:p>
                    </w:txbxContent>
                  </v:textbox>
                </v:shape>
                <w10:anchorlock/>
              </v:group>
            </w:pict>
          </mc:Fallback>
        </mc:AlternateContent>
      </w:r>
    </w:p>
    <w:p w:rsidR="00F10F10" w:rsidRDefault="00F10F10" w:rsidP="00F10F10"/>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76"/>
      </w:tblGrid>
      <w:tr w:rsidR="00864705" w:rsidTr="006452A4">
        <w:trPr>
          <w:cantSplit/>
        </w:trPr>
        <w:tc>
          <w:tcPr>
            <w:tcW w:w="0" w:type="auto"/>
            <w:tcBorders>
              <w:right w:val="single" w:sz="4" w:space="0" w:color="auto"/>
            </w:tcBorders>
            <w:shd w:val="clear" w:color="auto" w:fill="auto"/>
          </w:tcPr>
          <w:p w:rsidR="00D5165A" w:rsidRDefault="00D5165A" w:rsidP="00C93C44">
            <w:pPr>
              <w:rPr>
                <w:rStyle w:val="Emphasize"/>
              </w:rPr>
            </w:pPr>
            <w:r>
              <w:rPr>
                <w:rStyle w:val="Emphasize"/>
              </w:rPr>
              <w:t>Examples</w:t>
            </w:r>
            <w:r w:rsidR="00F35EDA">
              <w:rPr>
                <w:rStyle w:val="Emphasize"/>
              </w:rPr>
              <w:t xml:space="preserve"> [</w:t>
            </w:r>
            <w:r>
              <w:rPr>
                <w:rStyle w:val="Emphasize"/>
              </w:rPr>
              <w:t>Include both current and non-current items for all subgroups</w:t>
            </w:r>
            <w:r w:rsidR="00E453FF">
              <w:rPr>
                <w:rStyle w:val="Emphasize"/>
              </w:rPr>
              <w:t xml:space="preserve"> listed below</w:t>
            </w:r>
            <w:r w:rsidR="00F35EDA">
              <w:rPr>
                <w:rStyle w:val="Emphasize"/>
              </w:rPr>
              <w:t>]</w:t>
            </w:r>
          </w:p>
          <w:p w:rsidR="00D5165A" w:rsidRDefault="00D5165A" w:rsidP="00C93C44">
            <w:pPr>
              <w:rPr>
                <w:rStyle w:val="Emphasize"/>
              </w:rPr>
            </w:pPr>
          </w:p>
          <w:p w:rsidR="008D6EEC" w:rsidRDefault="008D6EEC" w:rsidP="00C93C44">
            <w:r>
              <w:rPr>
                <w:rStyle w:val="Emphasize"/>
              </w:rPr>
              <w:t xml:space="preserve">Financial assets: </w:t>
            </w:r>
            <w:r w:rsidR="00D70101">
              <w:t xml:space="preserve">All assets that </w:t>
            </w:r>
            <w:r>
              <w:t xml:space="preserve">yield </w:t>
            </w:r>
            <w:r w:rsidR="00C93C44">
              <w:t>financial</w:t>
            </w:r>
            <w:r w:rsidR="00434195">
              <w:t xml:space="preserve"> income below the </w:t>
            </w:r>
            <w:r w:rsidR="004706A5">
              <w:t>enterprise profit</w:t>
            </w:r>
            <w:r w:rsidR="00434195">
              <w:t xml:space="preserve"> line</w:t>
            </w:r>
            <w:r w:rsidR="008D7026">
              <w:t>. For example, cash and marketable securities – current as well as non-current.</w:t>
            </w:r>
          </w:p>
          <w:p w:rsidR="008D6EEC" w:rsidRDefault="008D6EEC" w:rsidP="00C93C44">
            <w:pPr>
              <w:rPr>
                <w:rStyle w:val="Emphasize"/>
              </w:rPr>
            </w:pPr>
          </w:p>
          <w:p w:rsidR="008D6EEC" w:rsidRDefault="00864705" w:rsidP="00C93C44">
            <w:pPr>
              <w:rPr>
                <w:rStyle w:val="Emphasize"/>
              </w:rPr>
            </w:pPr>
            <w:smartTag w:uri="urn:schemas-microsoft-com:office:smarttags" w:element="place">
              <w:smartTag w:uri="urn:schemas-microsoft-com:office:smarttags" w:element="City">
                <w:r>
                  <w:rPr>
                    <w:rStyle w:val="Emphasize"/>
                  </w:rPr>
                  <w:t>Enterprise</w:t>
                </w:r>
              </w:smartTag>
            </w:smartTag>
            <w:r>
              <w:rPr>
                <w:rStyle w:val="Emphasize"/>
              </w:rPr>
              <w:t xml:space="preserve"> assets</w:t>
            </w:r>
            <w:r w:rsidR="008D6EEC">
              <w:rPr>
                <w:rStyle w:val="Emphasize"/>
              </w:rPr>
              <w:t xml:space="preserve"> = Total assets – Financial assets</w:t>
            </w:r>
          </w:p>
          <w:p w:rsidR="00D5165A" w:rsidRDefault="00864705" w:rsidP="00C93C44">
            <w:r>
              <w:t>Receivables</w:t>
            </w:r>
            <w:r w:rsidR="00D5165A">
              <w:t>, Inventories, p</w:t>
            </w:r>
            <w:r>
              <w:t>r</w:t>
            </w:r>
            <w:r w:rsidR="00D5165A">
              <w:t>epayments and deferred expenses, n</w:t>
            </w:r>
            <w:r>
              <w:t>et PP&amp;E</w:t>
            </w:r>
            <w:r w:rsidR="00D5165A">
              <w:t>, strategic equity investments, deferred tax assets, intangible assets, net pension and health-care assets</w:t>
            </w:r>
          </w:p>
          <w:p w:rsidR="00864705" w:rsidRDefault="00864705" w:rsidP="00C93C44"/>
          <w:p w:rsidR="008D6EEC" w:rsidRDefault="008D6EEC" w:rsidP="00C93C44">
            <w:r>
              <w:rPr>
                <w:rStyle w:val="Emphasize"/>
              </w:rPr>
              <w:t xml:space="preserve">Financial liabilities: </w:t>
            </w:r>
            <w:r>
              <w:t xml:space="preserve">All liabilities that yield </w:t>
            </w:r>
            <w:r w:rsidR="00C93C44">
              <w:t>financial</w:t>
            </w:r>
            <w:r w:rsidR="00434195">
              <w:t xml:space="preserve"> expense below the </w:t>
            </w:r>
            <w:r w:rsidR="00F35EDA">
              <w:t>enterprise profit</w:t>
            </w:r>
            <w:r w:rsidR="00434195">
              <w:t xml:space="preserve"> line</w:t>
            </w:r>
            <w:r w:rsidR="008D7026">
              <w:t>. For example, debt – current and non-current.</w:t>
            </w:r>
          </w:p>
          <w:p w:rsidR="008D6EEC" w:rsidRDefault="008D6EEC" w:rsidP="00C93C44"/>
          <w:p w:rsidR="008D6EEC" w:rsidRDefault="00864705" w:rsidP="00C93C44">
            <w:pPr>
              <w:rPr>
                <w:rStyle w:val="Emphasize"/>
              </w:rPr>
            </w:pPr>
            <w:smartTag w:uri="urn:schemas-microsoft-com:office:smarttags" w:element="City">
              <w:smartTag w:uri="urn:schemas-microsoft-com:office:smarttags" w:element="place">
                <w:r>
                  <w:rPr>
                    <w:rStyle w:val="Emphasize"/>
                  </w:rPr>
                  <w:t>Enterprise</w:t>
                </w:r>
              </w:smartTag>
            </w:smartTag>
            <w:r>
              <w:rPr>
                <w:rStyle w:val="Emphasize"/>
              </w:rPr>
              <w:t xml:space="preserve"> liabilities</w:t>
            </w:r>
            <w:r w:rsidR="008D6EEC">
              <w:rPr>
                <w:rStyle w:val="Emphasize"/>
              </w:rPr>
              <w:t xml:space="preserve"> = Total liabilities – Financial liabilities</w:t>
            </w:r>
          </w:p>
          <w:p w:rsidR="00864705" w:rsidRDefault="00864705" w:rsidP="00C93C44">
            <w:r>
              <w:t>Accounts payables</w:t>
            </w:r>
            <w:r w:rsidR="00D5165A">
              <w:t>, a</w:t>
            </w:r>
            <w:r>
              <w:t>ccrued e</w:t>
            </w:r>
            <w:r w:rsidR="00D5165A">
              <w:t>xpenses, d</w:t>
            </w:r>
            <w:r>
              <w:t>eferred revenues</w:t>
            </w:r>
            <w:r w:rsidR="00D5165A">
              <w:t>, deferred tax liabilities, net pension and health-care liabilities</w:t>
            </w:r>
          </w:p>
        </w:tc>
      </w:tr>
    </w:tbl>
    <w:p w:rsidR="008D6EEC" w:rsidRDefault="008B0484" w:rsidP="008D6EEC">
      <w:pPr>
        <w:pStyle w:val="Heading3"/>
      </w:pPr>
      <w:smartTag w:uri="urn:schemas-microsoft-com:office:smarttags" w:element="City">
        <w:smartTag w:uri="urn:schemas-microsoft-com:office:smarttags" w:element="place">
          <w:r>
            <w:t>E</w:t>
          </w:r>
          <w:r w:rsidR="008D6EEC">
            <w:t>nterprise</w:t>
          </w:r>
        </w:smartTag>
      </w:smartTag>
      <w:r w:rsidR="008D6EEC">
        <w:t xml:space="preserve"> capital or invested capital = Net financial liabilities + Equity</w:t>
      </w:r>
    </w:p>
    <w:p w:rsidR="008B0484" w:rsidRDefault="008B0484" w:rsidP="008B0484">
      <w:pPr>
        <w:pStyle w:val="BodyText"/>
      </w:pPr>
      <w:r>
        <w:t>We now identify how the net enterprise assets have been financed.</w:t>
      </w:r>
    </w:p>
    <w:p w:rsidR="008B0484" w:rsidRDefault="008B0484" w:rsidP="00A10670">
      <w:pPr>
        <w:pStyle w:val="BodyText"/>
        <w:numPr>
          <w:ilvl w:val="0"/>
          <w:numId w:val="12"/>
        </w:numPr>
      </w:pPr>
      <w:r>
        <w:t>Input: Equity</w:t>
      </w:r>
    </w:p>
    <w:p w:rsidR="00CB1E64" w:rsidRDefault="00CB1E64" w:rsidP="00A10670">
      <w:pPr>
        <w:pStyle w:val="BodyText"/>
        <w:numPr>
          <w:ilvl w:val="0"/>
          <w:numId w:val="12"/>
        </w:numPr>
      </w:pPr>
      <w:r>
        <w:t>Refer to input for equity.</w:t>
      </w:r>
    </w:p>
    <w:p w:rsidR="008B0484" w:rsidRDefault="008B0484" w:rsidP="00A10670">
      <w:pPr>
        <w:pStyle w:val="BodyText"/>
        <w:numPr>
          <w:ilvl w:val="0"/>
          <w:numId w:val="12"/>
        </w:numPr>
      </w:pPr>
      <w:r>
        <w:t>Input: Financial liabilities</w:t>
      </w:r>
    </w:p>
    <w:p w:rsidR="007404E3" w:rsidRDefault="007404E3" w:rsidP="00A10670">
      <w:pPr>
        <w:pStyle w:val="BodyText"/>
        <w:numPr>
          <w:ilvl w:val="1"/>
          <w:numId w:val="12"/>
        </w:numPr>
      </w:pPr>
      <w:r>
        <w:t>Typically, all forms of borrowings from financial institutions and markets.</w:t>
      </w:r>
    </w:p>
    <w:p w:rsidR="007404E3" w:rsidRDefault="007404E3" w:rsidP="00A10670">
      <w:pPr>
        <w:pStyle w:val="BodyText"/>
        <w:numPr>
          <w:ilvl w:val="1"/>
          <w:numId w:val="12"/>
        </w:numPr>
      </w:pPr>
      <w:r>
        <w:t>Give rise to financial expense on the income statement.</w:t>
      </w:r>
    </w:p>
    <w:p w:rsidR="00CB1E64" w:rsidRDefault="00CB1E64" w:rsidP="00A10670">
      <w:pPr>
        <w:pStyle w:val="BodyText"/>
        <w:numPr>
          <w:ilvl w:val="0"/>
          <w:numId w:val="12"/>
        </w:numPr>
      </w:pPr>
      <w:r>
        <w:t>Refer to the input for financial liabilities</w:t>
      </w:r>
    </w:p>
    <w:p w:rsidR="008B0484" w:rsidRDefault="008B0484" w:rsidP="00A10670">
      <w:pPr>
        <w:pStyle w:val="BodyText"/>
        <w:numPr>
          <w:ilvl w:val="0"/>
          <w:numId w:val="12"/>
        </w:numPr>
      </w:pPr>
      <w:r>
        <w:t>Input: Financial assets</w:t>
      </w:r>
    </w:p>
    <w:p w:rsidR="007404E3" w:rsidRDefault="007404E3" w:rsidP="00A10670">
      <w:pPr>
        <w:pStyle w:val="BodyText"/>
        <w:numPr>
          <w:ilvl w:val="1"/>
          <w:numId w:val="12"/>
        </w:numPr>
      </w:pPr>
      <w:r>
        <w:t>Typically</w:t>
      </w:r>
      <w:r w:rsidR="000A0228">
        <w:t xml:space="preserve"> includes cash and </w:t>
      </w:r>
      <w:r>
        <w:t>short-term investment</w:t>
      </w:r>
      <w:r w:rsidR="00F26A3F">
        <w:t>s</w:t>
      </w:r>
      <w:r w:rsidR="000A0228">
        <w:t xml:space="preserve">. </w:t>
      </w:r>
      <w:r>
        <w:t>As a practical matter, allocating cash to enterprise activities for liquidity needs is generally not worth the effort.</w:t>
      </w:r>
    </w:p>
    <w:p w:rsidR="007404E3" w:rsidRDefault="007404E3" w:rsidP="00A10670">
      <w:pPr>
        <w:pStyle w:val="BodyText"/>
        <w:numPr>
          <w:ilvl w:val="1"/>
          <w:numId w:val="12"/>
        </w:numPr>
      </w:pPr>
      <w:r>
        <w:t>Financial assets are usually marked to market.</w:t>
      </w:r>
    </w:p>
    <w:p w:rsidR="000A0228" w:rsidRDefault="000A0228" w:rsidP="00A10670">
      <w:pPr>
        <w:pStyle w:val="BodyText"/>
        <w:numPr>
          <w:ilvl w:val="1"/>
          <w:numId w:val="12"/>
        </w:numPr>
      </w:pPr>
      <w:r>
        <w:t xml:space="preserve">Long-term investments fall into </w:t>
      </w:r>
      <w:r w:rsidR="00010401">
        <w:t>two</w:t>
      </w:r>
      <w:r>
        <w:t xml:space="preserve"> types:</w:t>
      </w:r>
    </w:p>
    <w:p w:rsidR="00BD737D" w:rsidRDefault="000A0228" w:rsidP="000A0228">
      <w:pPr>
        <w:pStyle w:val="BodyText"/>
        <w:numPr>
          <w:ilvl w:val="2"/>
          <w:numId w:val="12"/>
        </w:numPr>
      </w:pPr>
      <w:r>
        <w:t>Equity investm</w:t>
      </w:r>
      <w:r w:rsidR="00BD737D">
        <w:t>ents made for strategic reasons. These could be accounted for using the equity method or the cost method. Strategic equity investments should not be treated as financial assets.</w:t>
      </w:r>
    </w:p>
    <w:p w:rsidR="000A0228" w:rsidRDefault="00BD737D" w:rsidP="000A0228">
      <w:pPr>
        <w:pStyle w:val="BodyText"/>
        <w:numPr>
          <w:ilvl w:val="2"/>
          <w:numId w:val="12"/>
        </w:numPr>
      </w:pPr>
      <w:r>
        <w:t>Long-term debt investments and restricted cash. These should be treated as financial assets.</w:t>
      </w:r>
    </w:p>
    <w:p w:rsidR="00CB1E64" w:rsidRDefault="00CB1E64" w:rsidP="00A10670">
      <w:pPr>
        <w:pStyle w:val="BodyText"/>
        <w:numPr>
          <w:ilvl w:val="0"/>
          <w:numId w:val="12"/>
        </w:numPr>
      </w:pPr>
      <w:r>
        <w:t>Subtract financial assets.</w:t>
      </w:r>
    </w:p>
    <w:p w:rsidR="008D6EEC" w:rsidRDefault="008D6EEC" w:rsidP="00A10670">
      <w:pPr>
        <w:pStyle w:val="BodyText"/>
        <w:numPr>
          <w:ilvl w:val="0"/>
          <w:numId w:val="12"/>
        </w:numPr>
      </w:pPr>
      <w:r>
        <w:t>Net financial liabilities (assets) = Financial liabilities – Financial assets</w:t>
      </w:r>
    </w:p>
    <w:p w:rsidR="008D6EEC" w:rsidRDefault="00434195" w:rsidP="00A10670">
      <w:pPr>
        <w:pStyle w:val="BodyText"/>
        <w:numPr>
          <w:ilvl w:val="0"/>
          <w:numId w:val="12"/>
        </w:numPr>
      </w:pPr>
      <w:smartTag w:uri="urn:schemas-microsoft-com:office:smarttags" w:element="place">
        <w:smartTag w:uri="urn:schemas-microsoft-com:office:smarttags" w:element="City">
          <w:r>
            <w:t>E</w:t>
          </w:r>
          <w:r w:rsidR="008D6EEC">
            <w:t>nterprise</w:t>
          </w:r>
        </w:smartTag>
      </w:smartTag>
      <w:r w:rsidR="008D6EEC">
        <w:t xml:space="preserve"> capital or invested capital = Net financial liabilities + Equity</w:t>
      </w:r>
    </w:p>
    <w:p w:rsidR="00434195" w:rsidRDefault="00434195" w:rsidP="00A10670">
      <w:pPr>
        <w:pStyle w:val="BodyText"/>
        <w:numPr>
          <w:ilvl w:val="1"/>
          <w:numId w:val="12"/>
        </w:numPr>
      </w:pPr>
      <w:r>
        <w:t>Represents funds provided by outsiders that have been invested in the business</w:t>
      </w:r>
    </w:p>
    <w:p w:rsidR="00864705" w:rsidRDefault="00864705">
      <w:pPr>
        <w:pStyle w:val="Heading3"/>
      </w:pPr>
      <w:smartTag w:uri="urn:schemas-microsoft-com:office:smarttags" w:element="place">
        <w:smartTag w:uri="urn:schemas-microsoft-com:office:smarttags" w:element="City">
          <w:r>
            <w:t>Enterprise</w:t>
          </w:r>
        </w:smartTag>
      </w:smartTag>
      <w:r>
        <w:t xml:space="preserve"> assets</w:t>
      </w:r>
    </w:p>
    <w:p w:rsidR="00864705" w:rsidRDefault="008D6EEC" w:rsidP="00A10670">
      <w:pPr>
        <w:pStyle w:val="BodyText"/>
        <w:numPr>
          <w:ilvl w:val="0"/>
          <w:numId w:val="12"/>
        </w:numPr>
      </w:pPr>
      <w:r>
        <w:t xml:space="preserve">Input: </w:t>
      </w:r>
      <w:r w:rsidR="00D12DC2">
        <w:t>Total assets</w:t>
      </w:r>
    </w:p>
    <w:p w:rsidR="008C55EB" w:rsidRDefault="008C55EB" w:rsidP="00A10670">
      <w:pPr>
        <w:pStyle w:val="BodyText"/>
        <w:numPr>
          <w:ilvl w:val="0"/>
          <w:numId w:val="12"/>
        </w:numPr>
      </w:pPr>
      <w:r>
        <w:t>Refer to the input for total assets</w:t>
      </w:r>
    </w:p>
    <w:p w:rsidR="00864705" w:rsidRDefault="00F53A10" w:rsidP="00A10670">
      <w:pPr>
        <w:pStyle w:val="BodyText"/>
        <w:numPr>
          <w:ilvl w:val="0"/>
          <w:numId w:val="12"/>
        </w:numPr>
      </w:pPr>
      <w:r>
        <w:t>Subtract f</w:t>
      </w:r>
      <w:r w:rsidR="008B0484">
        <w:t xml:space="preserve">inancial assets </w:t>
      </w:r>
      <w:r w:rsidR="006510BD">
        <w:t xml:space="preserve">entered </w:t>
      </w:r>
      <w:r w:rsidR="008B0484">
        <w:t>earlier.</w:t>
      </w:r>
    </w:p>
    <w:p w:rsidR="00864705" w:rsidRDefault="00864705" w:rsidP="00A10670">
      <w:pPr>
        <w:pStyle w:val="BodyText"/>
        <w:numPr>
          <w:ilvl w:val="0"/>
          <w:numId w:val="12"/>
        </w:numPr>
      </w:pPr>
      <w:smartTag w:uri="urn:schemas-microsoft-com:office:smarttags" w:element="place">
        <w:smartTag w:uri="urn:schemas-microsoft-com:office:smarttags" w:element="City">
          <w:r>
            <w:t>Enterprise</w:t>
          </w:r>
        </w:smartTag>
      </w:smartTag>
      <w:r>
        <w:t xml:space="preserve"> assets = Total assets – financial assets</w:t>
      </w:r>
    </w:p>
    <w:p w:rsidR="006522B0" w:rsidRDefault="006522B0" w:rsidP="00A10670">
      <w:pPr>
        <w:pStyle w:val="BodyText"/>
        <w:numPr>
          <w:ilvl w:val="1"/>
          <w:numId w:val="12"/>
        </w:numPr>
      </w:pPr>
      <w:r>
        <w:t>One can, of course, itemize and add all enterprise assets in a top-down approach. The bottom-up approach used here is easier and faster.</w:t>
      </w:r>
    </w:p>
    <w:p w:rsidR="00864705" w:rsidRDefault="00864705">
      <w:pPr>
        <w:pStyle w:val="Heading3"/>
      </w:pPr>
      <w:smartTag w:uri="urn:schemas-microsoft-com:office:smarttags" w:element="place">
        <w:smartTag w:uri="urn:schemas-microsoft-com:office:smarttags" w:element="City">
          <w:r>
            <w:t>Enterprise</w:t>
          </w:r>
        </w:smartTag>
      </w:smartTag>
      <w:r>
        <w:t xml:space="preserve"> liabilities</w:t>
      </w:r>
    </w:p>
    <w:p w:rsidR="00864705" w:rsidRDefault="00864705" w:rsidP="00A10670">
      <w:pPr>
        <w:pStyle w:val="BodyText"/>
        <w:numPr>
          <w:ilvl w:val="0"/>
          <w:numId w:val="12"/>
        </w:numPr>
      </w:pPr>
      <w:r>
        <w:t xml:space="preserve">Total liabilities </w:t>
      </w:r>
      <w:r w:rsidR="00CB2D3D">
        <w:t>= Total assets - Equity</w:t>
      </w:r>
    </w:p>
    <w:p w:rsidR="00864705" w:rsidRDefault="00CA7167" w:rsidP="00A10670">
      <w:pPr>
        <w:pStyle w:val="BodyText"/>
        <w:numPr>
          <w:ilvl w:val="0"/>
          <w:numId w:val="12"/>
        </w:numPr>
      </w:pPr>
      <w:r>
        <w:t>Refer to f</w:t>
      </w:r>
      <w:r w:rsidR="00E4146A">
        <w:t xml:space="preserve">inancial liabilities </w:t>
      </w:r>
      <w:r>
        <w:t>entered</w:t>
      </w:r>
      <w:r w:rsidR="00E4146A">
        <w:t xml:space="preserve"> earlier.</w:t>
      </w:r>
    </w:p>
    <w:p w:rsidR="00864705" w:rsidRDefault="00864705" w:rsidP="00A10670">
      <w:pPr>
        <w:pStyle w:val="BodyText"/>
        <w:numPr>
          <w:ilvl w:val="0"/>
          <w:numId w:val="12"/>
        </w:numPr>
      </w:pPr>
      <w:smartTag w:uri="urn:schemas-microsoft-com:office:smarttags" w:element="City">
        <w:smartTag w:uri="urn:schemas-microsoft-com:office:smarttags" w:element="place">
          <w:r>
            <w:t>Enterprise</w:t>
          </w:r>
        </w:smartTag>
      </w:smartTag>
      <w:r>
        <w:t xml:space="preserve"> liabilities =</w:t>
      </w:r>
      <w:r w:rsidR="00AF0D9C">
        <w:t xml:space="preserve"> Total liabilities – Financial liabilities</w:t>
      </w:r>
    </w:p>
    <w:p w:rsidR="00744DD4" w:rsidRDefault="00744DD4" w:rsidP="00A10670">
      <w:pPr>
        <w:pStyle w:val="BodyText"/>
        <w:numPr>
          <w:ilvl w:val="1"/>
          <w:numId w:val="12"/>
        </w:numPr>
      </w:pPr>
      <w:r>
        <w:t>One can, of course, itemize and add all enterprise liabilities in a top-down approach. The bottom-up approach used here is easier and faster.</w:t>
      </w:r>
    </w:p>
    <w:p w:rsidR="00864705" w:rsidRDefault="00864705">
      <w:pPr>
        <w:pStyle w:val="Heading3"/>
      </w:pPr>
      <w:r>
        <w:t>Net enterprise assets</w:t>
      </w:r>
      <w:r w:rsidR="00E70AB5">
        <w:t xml:space="preserve"> needed and </w:t>
      </w:r>
      <w:r w:rsidR="0022194B">
        <w:t xml:space="preserve">their </w:t>
      </w:r>
      <w:r w:rsidR="00E70AB5">
        <w:t xml:space="preserve">financing via </w:t>
      </w:r>
      <w:r w:rsidR="0022194B">
        <w:t>invested capital</w:t>
      </w:r>
    </w:p>
    <w:p w:rsidR="00864705" w:rsidRDefault="00864705" w:rsidP="00A10670">
      <w:pPr>
        <w:pStyle w:val="BodyText"/>
        <w:numPr>
          <w:ilvl w:val="0"/>
          <w:numId w:val="12"/>
        </w:numPr>
      </w:pPr>
      <w:r>
        <w:t xml:space="preserve">Net enterprise assets = </w:t>
      </w:r>
      <w:smartTag w:uri="urn:schemas-microsoft-com:office:smarttags" w:element="City">
        <w:r>
          <w:t>Enterprise</w:t>
        </w:r>
      </w:smartTag>
      <w:r>
        <w:t xml:space="preserve"> assets – </w:t>
      </w:r>
      <w:smartTag w:uri="urn:schemas-microsoft-com:office:smarttags" w:element="place">
        <w:smartTag w:uri="urn:schemas-microsoft-com:office:smarttags" w:element="City">
          <w:r>
            <w:t>Enterprise</w:t>
          </w:r>
        </w:smartTag>
      </w:smartTag>
      <w:r>
        <w:t xml:space="preserve"> liabilities</w:t>
      </w:r>
    </w:p>
    <w:p w:rsidR="003B416D" w:rsidRDefault="00EE6ECF" w:rsidP="001313A0">
      <w:pPr>
        <w:pStyle w:val="BodyText"/>
        <w:numPr>
          <w:ilvl w:val="1"/>
          <w:numId w:val="12"/>
        </w:numPr>
      </w:pPr>
      <w:r>
        <w:t xml:space="preserve">Represents funds needed by the </w:t>
      </w:r>
      <w:r w:rsidR="003B416D">
        <w:t xml:space="preserve">business to generate </w:t>
      </w:r>
      <w:r w:rsidR="004B7A26">
        <w:t>enterprise profit after tax</w:t>
      </w:r>
      <w:r w:rsidR="003B416D">
        <w:t>.</w:t>
      </w:r>
    </w:p>
    <w:p w:rsidR="00EE6ECF" w:rsidRDefault="00EE6ECF" w:rsidP="00A10670">
      <w:pPr>
        <w:pStyle w:val="BodyText"/>
        <w:numPr>
          <w:ilvl w:val="0"/>
          <w:numId w:val="12"/>
        </w:numPr>
      </w:pPr>
      <w:r>
        <w:t xml:space="preserve">Check: Net enterprise assets – enterprise capital </w:t>
      </w:r>
      <w:r w:rsidR="00CA7167">
        <w:t xml:space="preserve">or invested capital </w:t>
      </w:r>
      <w:r>
        <w:t>= 0</w:t>
      </w:r>
    </w:p>
    <w:p w:rsidR="002768A8" w:rsidRDefault="00864705" w:rsidP="002768A8">
      <w:pPr>
        <w:pStyle w:val="Heading2"/>
      </w:pPr>
      <w:r>
        <w:t xml:space="preserve">Cash flow statement: </w:t>
      </w:r>
      <w:smartTag w:uri="urn:schemas-microsoft-com:office:smarttags" w:element="place">
        <w:smartTag w:uri="urn:schemas-microsoft-com:office:smarttags" w:element="City">
          <w:r>
            <w:t>Enterprise</w:t>
          </w:r>
        </w:smartTag>
      </w:smartTag>
      <w:r>
        <w:t xml:space="preserve"> vs. financial activities</w:t>
      </w:r>
    </w:p>
    <w:p w:rsidR="00DE27BC" w:rsidRDefault="008A5AAB" w:rsidP="008A5AAB">
      <w:pPr>
        <w:pStyle w:val="BodyText"/>
      </w:pPr>
      <w:r>
        <w:t>The cash flow statements presented below do not follow GAAP. They are analytically useful ways of looking at cash flows.</w:t>
      </w:r>
    </w:p>
    <w:tbl>
      <w:tblPr>
        <w:tblStyle w:val="TableGrid"/>
        <w:tblW w:w="0" w:type="auto"/>
        <w:tblInd w:w="1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4A0" w:firstRow="1" w:lastRow="0" w:firstColumn="1" w:lastColumn="0" w:noHBand="0" w:noVBand="1"/>
      </w:tblPr>
      <w:tblGrid>
        <w:gridCol w:w="5328"/>
      </w:tblGrid>
      <w:tr w:rsidR="004C7D9C" w:rsidTr="00E776FB">
        <w:trPr>
          <w:cantSplit/>
        </w:trPr>
        <w:tc>
          <w:tcPr>
            <w:tcW w:w="0" w:type="auto"/>
            <w:shd w:val="clear" w:color="auto" w:fill="CCECFF"/>
          </w:tcPr>
          <w:p w:rsidR="004C7D9C" w:rsidRPr="004C7D9C" w:rsidRDefault="004C7D9C" w:rsidP="00807AE3">
            <w:pPr>
              <w:pStyle w:val="TableLeftText"/>
              <w:keepNext/>
            </w:pPr>
            <w:r>
              <w:rPr>
                <w:rStyle w:val="Emphasize"/>
              </w:rPr>
              <w:t>Enterprise cash flow in the direct format</w:t>
            </w:r>
            <w:r w:rsidR="004A0906">
              <w:rPr>
                <w:rStyle w:val="Emphasize"/>
              </w:rPr>
              <w:t xml:space="preserve"> [Con</w:t>
            </w:r>
            <w:r w:rsidR="00617B94">
              <w:rPr>
                <w:rStyle w:val="Emphasize"/>
              </w:rPr>
              <w:t>c</w:t>
            </w:r>
            <w:r w:rsidR="004A0906">
              <w:rPr>
                <w:rStyle w:val="Emphasize"/>
              </w:rPr>
              <w:t>eptual]</w:t>
            </w:r>
          </w:p>
        </w:tc>
      </w:tr>
      <w:tr w:rsidR="004C7D9C" w:rsidTr="00E776FB">
        <w:trPr>
          <w:cantSplit/>
        </w:trPr>
        <w:tc>
          <w:tcPr>
            <w:tcW w:w="0" w:type="auto"/>
            <w:shd w:val="clear" w:color="auto" w:fill="auto"/>
          </w:tcPr>
          <w:p w:rsidR="004C7D9C" w:rsidRDefault="004C7D9C" w:rsidP="00807AE3">
            <w:pPr>
              <w:pStyle w:val="TableLeftText"/>
            </w:pPr>
            <w:r w:rsidRPr="00D255F9">
              <w:t>Receipts</w:t>
            </w:r>
            <w:r>
              <w:t xml:space="preserve"> from customers</w:t>
            </w:r>
          </w:p>
          <w:p w:rsidR="004C7D9C" w:rsidRDefault="004C7D9C" w:rsidP="00807AE3">
            <w:pPr>
              <w:pStyle w:val="TableLeftText"/>
            </w:pPr>
            <w:r>
              <w:t>(P</w:t>
            </w:r>
            <w:r w:rsidRPr="00D255F9">
              <w:t>ayments to vendors for goods and services, employees</w:t>
            </w:r>
            <w:r>
              <w:t>)</w:t>
            </w:r>
          </w:p>
          <w:p w:rsidR="004C7D9C" w:rsidRDefault="004C7D9C" w:rsidP="00807AE3">
            <w:pPr>
              <w:pStyle w:val="TableLeftText"/>
            </w:pPr>
            <w:r>
              <w:t>(C</w:t>
            </w:r>
            <w:r w:rsidRPr="00D255F9">
              <w:t>apital expenditures</w:t>
            </w:r>
            <w:r>
              <w:t>)</w:t>
            </w:r>
          </w:p>
          <w:p w:rsidR="004C7D9C" w:rsidRDefault="004C7D9C" w:rsidP="00807AE3">
            <w:pPr>
              <w:pStyle w:val="TableLeftText"/>
            </w:pPr>
            <w:r>
              <w:t>(T</w:t>
            </w:r>
            <w:r w:rsidRPr="00D255F9">
              <w:t>axes on enterprise profits</w:t>
            </w:r>
            <w:r>
              <w:t>)</w:t>
            </w:r>
          </w:p>
          <w:p w:rsidR="004C7D9C" w:rsidRDefault="004C7D9C" w:rsidP="00807AE3">
            <w:pPr>
              <w:pStyle w:val="TableLeftText"/>
            </w:pPr>
            <w:r>
              <w:t>= Enterprise cash flow</w:t>
            </w:r>
          </w:p>
        </w:tc>
      </w:tr>
    </w:tbl>
    <w:p w:rsidR="004C7D9C" w:rsidRDefault="004C7D9C" w:rsidP="00807AE3"/>
    <w:tbl>
      <w:tblPr>
        <w:tblStyle w:val="TableGrid"/>
        <w:tblW w:w="0" w:type="auto"/>
        <w:tblInd w:w="1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4A0" w:firstRow="1" w:lastRow="0" w:firstColumn="1" w:lastColumn="0" w:noHBand="0" w:noVBand="1"/>
      </w:tblPr>
      <w:tblGrid>
        <w:gridCol w:w="4235"/>
      </w:tblGrid>
      <w:tr w:rsidR="004C7D9C" w:rsidTr="00E776FB">
        <w:trPr>
          <w:cantSplit/>
        </w:trPr>
        <w:tc>
          <w:tcPr>
            <w:tcW w:w="0" w:type="auto"/>
            <w:shd w:val="clear" w:color="auto" w:fill="CCECFF"/>
          </w:tcPr>
          <w:p w:rsidR="004C7D9C" w:rsidRPr="004C7D9C" w:rsidRDefault="004C7D9C" w:rsidP="00807AE3">
            <w:pPr>
              <w:pStyle w:val="TableLeftText"/>
              <w:keepNext/>
            </w:pPr>
            <w:r>
              <w:rPr>
                <w:rStyle w:val="Emphasize"/>
              </w:rPr>
              <w:t>Enterprise cash flow in the indirect format</w:t>
            </w:r>
          </w:p>
        </w:tc>
      </w:tr>
      <w:tr w:rsidR="004C7D9C" w:rsidTr="00E776FB">
        <w:trPr>
          <w:cantSplit/>
        </w:trPr>
        <w:tc>
          <w:tcPr>
            <w:tcW w:w="0" w:type="auto"/>
            <w:shd w:val="clear" w:color="auto" w:fill="auto"/>
          </w:tcPr>
          <w:p w:rsidR="00807AE3" w:rsidRDefault="004C7D9C" w:rsidP="00807AE3">
            <w:pPr>
              <w:pStyle w:val="TableLeftText"/>
            </w:pPr>
            <w:r>
              <w:t>Enterprise profit after tax</w:t>
            </w:r>
          </w:p>
          <w:p w:rsidR="004C7D9C" w:rsidRDefault="004C7D9C" w:rsidP="00807AE3">
            <w:pPr>
              <w:pStyle w:val="TableLeftText"/>
            </w:pPr>
            <w:r>
              <w:t>– Change in net enterprise assets</w:t>
            </w:r>
          </w:p>
          <w:p w:rsidR="00807AE3" w:rsidRDefault="00807AE3" w:rsidP="00807AE3">
            <w:pPr>
              <w:pStyle w:val="TableLeftText"/>
            </w:pPr>
            <w:r>
              <w:t>= Enterprise cash flows</w:t>
            </w:r>
          </w:p>
        </w:tc>
      </w:tr>
    </w:tbl>
    <w:p w:rsidR="004C7D9C" w:rsidRDefault="004C7D9C" w:rsidP="00807AE3"/>
    <w:tbl>
      <w:tblPr>
        <w:tblStyle w:val="TableGrid"/>
        <w:tblW w:w="0" w:type="auto"/>
        <w:tblInd w:w="1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4A0" w:firstRow="1" w:lastRow="0" w:firstColumn="1" w:lastColumn="0" w:noHBand="0" w:noVBand="1"/>
      </w:tblPr>
      <w:tblGrid>
        <w:gridCol w:w="6354"/>
      </w:tblGrid>
      <w:tr w:rsidR="00807AE3" w:rsidTr="00E776FB">
        <w:trPr>
          <w:cantSplit/>
        </w:trPr>
        <w:tc>
          <w:tcPr>
            <w:tcW w:w="0" w:type="auto"/>
            <w:shd w:val="clear" w:color="auto" w:fill="CCECFF"/>
          </w:tcPr>
          <w:p w:rsidR="00807AE3" w:rsidRPr="004C7D9C" w:rsidRDefault="00807AE3" w:rsidP="00807AE3">
            <w:pPr>
              <w:pStyle w:val="TableLeftText"/>
              <w:keepNext/>
            </w:pPr>
            <w:r>
              <w:rPr>
                <w:rStyle w:val="Emphasize"/>
              </w:rPr>
              <w:t>Enterprise vs. financial cash flows</w:t>
            </w:r>
            <w:r w:rsidR="00617B94">
              <w:rPr>
                <w:rStyle w:val="Emphasize"/>
              </w:rPr>
              <w:t>: Explaining the change in cash</w:t>
            </w:r>
          </w:p>
        </w:tc>
      </w:tr>
      <w:tr w:rsidR="00807AE3" w:rsidTr="00E776FB">
        <w:trPr>
          <w:cantSplit/>
        </w:trPr>
        <w:tc>
          <w:tcPr>
            <w:tcW w:w="0" w:type="auto"/>
            <w:shd w:val="clear" w:color="auto" w:fill="auto"/>
          </w:tcPr>
          <w:p w:rsidR="00807AE3" w:rsidRDefault="00807AE3" w:rsidP="00807AE3">
            <w:pPr>
              <w:pStyle w:val="TableLeftText"/>
            </w:pPr>
            <w:r>
              <w:t>Enterprise cash flow</w:t>
            </w:r>
          </w:p>
          <w:p w:rsidR="00807AE3" w:rsidRDefault="00807AE3" w:rsidP="00807AE3">
            <w:pPr>
              <w:pStyle w:val="TableLeftText"/>
            </w:pPr>
            <w:r>
              <w:t>- Net payments for financial expenses (income) after tax</w:t>
            </w:r>
          </w:p>
          <w:p w:rsidR="00807AE3" w:rsidRDefault="00807AE3" w:rsidP="00807AE3">
            <w:pPr>
              <w:pStyle w:val="TableLeftText"/>
            </w:pPr>
            <w:r>
              <w:t xml:space="preserve">- Net payments for financial liabilities </w:t>
            </w:r>
          </w:p>
          <w:p w:rsidR="00807AE3" w:rsidRDefault="00807AE3" w:rsidP="00807AE3">
            <w:pPr>
              <w:pStyle w:val="TableLeftText"/>
            </w:pPr>
            <w:r>
              <w:t>- Net purchases of financial assets other than cash</w:t>
            </w:r>
          </w:p>
          <w:p w:rsidR="00807AE3" w:rsidRDefault="00807AE3" w:rsidP="00807AE3">
            <w:pPr>
              <w:pStyle w:val="TableLeftText"/>
            </w:pPr>
            <w:r>
              <w:t>- Net payments to shareholders</w:t>
            </w:r>
          </w:p>
          <w:p w:rsidR="00807AE3" w:rsidRDefault="00807AE3" w:rsidP="00807AE3">
            <w:pPr>
              <w:pStyle w:val="TableLeftText"/>
            </w:pPr>
            <w:r>
              <w:t>= Change in cash balance [aka net cash flow]</w:t>
            </w:r>
          </w:p>
        </w:tc>
      </w:tr>
    </w:tbl>
    <w:p w:rsidR="00807AE3" w:rsidRDefault="00807AE3" w:rsidP="00807AE3"/>
    <w:tbl>
      <w:tblPr>
        <w:tblStyle w:val="TableGrid"/>
        <w:tblW w:w="0" w:type="auto"/>
        <w:tblInd w:w="1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4A0" w:firstRow="1" w:lastRow="0" w:firstColumn="1" w:lastColumn="0" w:noHBand="0" w:noVBand="1"/>
      </w:tblPr>
      <w:tblGrid>
        <w:gridCol w:w="7992"/>
      </w:tblGrid>
      <w:tr w:rsidR="00807AE3" w:rsidTr="00E776FB">
        <w:trPr>
          <w:cantSplit/>
        </w:trPr>
        <w:tc>
          <w:tcPr>
            <w:tcW w:w="0" w:type="auto"/>
            <w:shd w:val="clear" w:color="auto" w:fill="CCECFF"/>
          </w:tcPr>
          <w:p w:rsidR="00807AE3" w:rsidRPr="004C7D9C" w:rsidRDefault="00807AE3" w:rsidP="00F8148A">
            <w:pPr>
              <w:pStyle w:val="TableLeftText"/>
              <w:keepNext/>
            </w:pPr>
            <w:r>
              <w:rPr>
                <w:rStyle w:val="Emphasize"/>
              </w:rPr>
              <w:t xml:space="preserve">Enterprise vs. financial cash flows: </w:t>
            </w:r>
            <w:r w:rsidR="00F8148A">
              <w:rPr>
                <w:rStyle w:val="Emphasize"/>
              </w:rPr>
              <w:t>Treating change in cash as a financial cash flow</w:t>
            </w:r>
          </w:p>
        </w:tc>
      </w:tr>
      <w:tr w:rsidR="00807AE3" w:rsidTr="00E776FB">
        <w:trPr>
          <w:cantSplit/>
        </w:trPr>
        <w:tc>
          <w:tcPr>
            <w:tcW w:w="0" w:type="auto"/>
            <w:shd w:val="clear" w:color="auto" w:fill="auto"/>
          </w:tcPr>
          <w:p w:rsidR="00807AE3" w:rsidRDefault="005A23E4" w:rsidP="00807AE3">
            <w:pPr>
              <w:pStyle w:val="TableLeftText"/>
            </w:pPr>
            <w:r>
              <w:t xml:space="preserve">The spreadsheet </w:t>
            </w:r>
            <w:r w:rsidR="00807AE3">
              <w:t>include</w:t>
            </w:r>
            <w:r>
              <w:t>s</w:t>
            </w:r>
            <w:r w:rsidR="00807AE3">
              <w:t xml:space="preserve"> cash in financial assets, </w:t>
            </w:r>
            <w:r>
              <w:t xml:space="preserve">therefore, </w:t>
            </w:r>
            <w:r w:rsidR="00807AE3">
              <w:t>we get</w:t>
            </w:r>
            <w:r>
              <w:t xml:space="preserve"> the following:</w:t>
            </w:r>
          </w:p>
          <w:p w:rsidR="00F8148A" w:rsidRDefault="00F8148A" w:rsidP="005A23E4">
            <w:pPr>
              <w:pStyle w:val="6pointSpacer"/>
            </w:pPr>
          </w:p>
          <w:p w:rsidR="00807AE3" w:rsidRDefault="00807AE3" w:rsidP="00807AE3">
            <w:pPr>
              <w:pStyle w:val="TableLeftText"/>
            </w:pPr>
            <w:r>
              <w:t>Enterprise cash flow</w:t>
            </w:r>
          </w:p>
          <w:p w:rsidR="00807AE3" w:rsidRDefault="00807AE3" w:rsidP="00807AE3">
            <w:pPr>
              <w:pStyle w:val="TableLeftText"/>
            </w:pPr>
            <w:r>
              <w:t>- Net payments for financial expenses (income) after tax</w:t>
            </w:r>
          </w:p>
          <w:p w:rsidR="00807AE3" w:rsidRDefault="00807AE3" w:rsidP="00807AE3">
            <w:pPr>
              <w:pStyle w:val="TableLeftText"/>
            </w:pPr>
            <w:r>
              <w:t xml:space="preserve">- Net payments for financial liabilities </w:t>
            </w:r>
          </w:p>
          <w:p w:rsidR="00807AE3" w:rsidRDefault="00807AE3" w:rsidP="00807AE3">
            <w:pPr>
              <w:pStyle w:val="TableLeftText"/>
            </w:pPr>
            <w:r>
              <w:t>- Net purchases of financial assets</w:t>
            </w:r>
            <w:r w:rsidR="006A117E">
              <w:t>: i</w:t>
            </w:r>
            <w:r>
              <w:t xml:space="preserve">ncludes </w:t>
            </w:r>
            <w:r w:rsidR="006A117E">
              <w:t>change in cash or net cash flow</w:t>
            </w:r>
          </w:p>
          <w:p w:rsidR="00807AE3" w:rsidRDefault="00807AE3" w:rsidP="00807AE3">
            <w:pPr>
              <w:pStyle w:val="TableLeftText"/>
            </w:pPr>
            <w:r>
              <w:t>- Net payments to shareholders</w:t>
            </w:r>
          </w:p>
          <w:p w:rsidR="00807AE3" w:rsidRDefault="00807AE3" w:rsidP="00807AE3">
            <w:pPr>
              <w:pStyle w:val="TableLeftText"/>
            </w:pPr>
            <w:r>
              <w:t>= 0</w:t>
            </w:r>
          </w:p>
          <w:p w:rsidR="00807AE3" w:rsidRDefault="00807AE3" w:rsidP="005A23E4">
            <w:pPr>
              <w:pStyle w:val="6pointSpacer"/>
            </w:pPr>
          </w:p>
          <w:p w:rsidR="00807AE3" w:rsidRDefault="00807AE3" w:rsidP="00807AE3">
            <w:pPr>
              <w:pStyle w:val="TableLeftText"/>
            </w:pPr>
            <w:r>
              <w:t>That is, enterprise cash flow + financial cash flow = 0</w:t>
            </w:r>
          </w:p>
        </w:tc>
      </w:tr>
    </w:tbl>
    <w:p w:rsidR="001E43B1" w:rsidRDefault="001E43B1" w:rsidP="001E43B1">
      <w:pPr>
        <w:keepNext/>
      </w:pPr>
    </w:p>
    <w:tbl>
      <w:tblPr>
        <w:tblStyle w:val="TableGrid"/>
        <w:tblW w:w="0" w:type="auto"/>
        <w:tblInd w:w="1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15" w:type="dxa"/>
          <w:right w:w="115" w:type="dxa"/>
        </w:tblCellMar>
        <w:tblLook w:val="04A0" w:firstRow="1" w:lastRow="0" w:firstColumn="1" w:lastColumn="0" w:noHBand="0" w:noVBand="1"/>
      </w:tblPr>
      <w:tblGrid>
        <w:gridCol w:w="9475"/>
      </w:tblGrid>
      <w:tr w:rsidR="006225A4" w:rsidTr="00E776FB">
        <w:trPr>
          <w:cantSplit/>
        </w:trPr>
        <w:tc>
          <w:tcPr>
            <w:tcW w:w="0" w:type="auto"/>
            <w:shd w:val="clear" w:color="auto" w:fill="CCECFF"/>
          </w:tcPr>
          <w:p w:rsidR="00807AE3" w:rsidRPr="004C7D9C" w:rsidRDefault="00807AE3" w:rsidP="00817964">
            <w:pPr>
              <w:pStyle w:val="TableLeftText"/>
              <w:keepNext/>
            </w:pPr>
            <w:r>
              <w:rPr>
                <w:rStyle w:val="Emphasize"/>
              </w:rPr>
              <w:t>Reconciling GAAP cash flows to enterprise cash flows</w:t>
            </w:r>
            <w:r w:rsidR="00EB7724">
              <w:rPr>
                <w:rStyle w:val="Emphasize"/>
              </w:rPr>
              <w:t xml:space="preserve"> [Approximation]</w:t>
            </w:r>
          </w:p>
        </w:tc>
      </w:tr>
      <w:tr w:rsidR="006225A4" w:rsidTr="00E776FB">
        <w:trPr>
          <w:cantSplit/>
        </w:trPr>
        <w:tc>
          <w:tcPr>
            <w:tcW w:w="0" w:type="auto"/>
            <w:shd w:val="clear" w:color="auto" w:fill="auto"/>
          </w:tcPr>
          <w:p w:rsidR="00807AE3" w:rsidRDefault="00807AE3" w:rsidP="00807AE3">
            <w:r>
              <w:t>Reported operating cash flows</w:t>
            </w:r>
          </w:p>
          <w:p w:rsidR="00807AE3" w:rsidRDefault="00807AE3" w:rsidP="00807AE3">
            <w:r>
              <w:t>+ Interest paid, net of tax</w:t>
            </w:r>
          </w:p>
          <w:p w:rsidR="00807AE3" w:rsidRDefault="00807AE3" w:rsidP="00807AE3">
            <w:r>
              <w:t>- Interest received, net of tax</w:t>
            </w:r>
          </w:p>
          <w:p w:rsidR="00807AE3" w:rsidRDefault="00807AE3" w:rsidP="00807AE3">
            <w:r>
              <w:t>= operating cash flows without financial items</w:t>
            </w:r>
          </w:p>
          <w:p w:rsidR="00807AE3" w:rsidRDefault="00807AE3" w:rsidP="00807AE3"/>
          <w:p w:rsidR="00807AE3" w:rsidRDefault="00807AE3" w:rsidP="00807AE3">
            <w:r>
              <w:t>Reported investing cash flows</w:t>
            </w:r>
          </w:p>
          <w:p w:rsidR="00807AE3" w:rsidRDefault="00807AE3" w:rsidP="00807AE3">
            <w:r>
              <w:t>+ Investments into short-term investments of cash such as securities</w:t>
            </w:r>
          </w:p>
          <w:p w:rsidR="00807AE3" w:rsidRDefault="00807AE3" w:rsidP="00807AE3">
            <w:r>
              <w:t>= investing cash flow without financial items</w:t>
            </w:r>
          </w:p>
          <w:p w:rsidR="00807AE3" w:rsidRDefault="00807AE3" w:rsidP="00807AE3"/>
          <w:p w:rsidR="00807AE3" w:rsidRDefault="00807AE3" w:rsidP="00807AE3">
            <w:r>
              <w:t xml:space="preserve">Operating cash flows without financial items </w:t>
            </w:r>
          </w:p>
          <w:p w:rsidR="00807AE3" w:rsidRDefault="00807AE3" w:rsidP="00807AE3">
            <w:r>
              <w:t>+ investing cash flow without financial items</w:t>
            </w:r>
          </w:p>
          <w:p w:rsidR="00807AE3" w:rsidRDefault="00807AE3" w:rsidP="00807AE3">
            <w:pPr>
              <w:pStyle w:val="TableLeftText"/>
            </w:pPr>
            <w:r>
              <w:t>= Enterprise cash flows</w:t>
            </w:r>
          </w:p>
          <w:p w:rsidR="006225A4" w:rsidRDefault="006225A4" w:rsidP="00807AE3">
            <w:pPr>
              <w:pStyle w:val="TableLeftText"/>
            </w:pPr>
          </w:p>
          <w:p w:rsidR="006225A4" w:rsidRDefault="001D76A1" w:rsidP="006225A4">
            <w:pPr>
              <w:pStyle w:val="TableLeftText"/>
            </w:pPr>
            <w:r>
              <w:t>[</w:t>
            </w:r>
            <w:r w:rsidR="006225A4">
              <w:t>This is an approximation because GAAP statements show only explicit cash flows while enterprise cash flows incorporate the effect of implicit cash flows such as non-cash capital expenditures.</w:t>
            </w:r>
            <w:r>
              <w:t>]</w:t>
            </w:r>
          </w:p>
        </w:tc>
      </w:tr>
    </w:tbl>
    <w:p w:rsidR="00864705" w:rsidRDefault="00673985">
      <w:pPr>
        <w:pStyle w:val="Heading3"/>
      </w:pPr>
      <w:r>
        <w:t>Enterprise cash flow</w:t>
      </w:r>
      <w:r w:rsidR="00833D89">
        <w:t>s</w:t>
      </w:r>
    </w:p>
    <w:p w:rsidR="00864705" w:rsidRDefault="00673985" w:rsidP="00BE47B8">
      <w:pPr>
        <w:pStyle w:val="BodyText"/>
      </w:pPr>
      <w:r>
        <w:t>Enterprise cash flow</w:t>
      </w:r>
      <w:r w:rsidR="00864705">
        <w:t xml:space="preserve"> </w:t>
      </w:r>
      <w:r w:rsidR="00E722C5">
        <w:t>equal</w:t>
      </w:r>
      <w:r>
        <w:t>s</w:t>
      </w:r>
      <w:r w:rsidR="00864705">
        <w:t xml:space="preserve"> the enterprise profit generated minus the investment needed in </w:t>
      </w:r>
      <w:r w:rsidR="00DD65AA">
        <w:t xml:space="preserve">growing the </w:t>
      </w:r>
      <w:r w:rsidR="00864705">
        <w:t xml:space="preserve">net enterprise assets. </w:t>
      </w:r>
    </w:p>
    <w:p w:rsidR="00DD65AA" w:rsidRDefault="001D4A47" w:rsidP="00A10670">
      <w:pPr>
        <w:pStyle w:val="BodyText"/>
        <w:numPr>
          <w:ilvl w:val="0"/>
          <w:numId w:val="12"/>
        </w:numPr>
      </w:pPr>
      <w:r>
        <w:t>Refer to e</w:t>
      </w:r>
      <w:r w:rsidR="00864705">
        <w:t>nterprise profit after tax</w:t>
      </w:r>
      <w:r w:rsidR="00DD65AA">
        <w:t xml:space="preserve"> derived earlier</w:t>
      </w:r>
      <w:r w:rsidR="00864705">
        <w:t>.</w:t>
      </w:r>
    </w:p>
    <w:p w:rsidR="00DB325F" w:rsidRDefault="000E0C4D" w:rsidP="00A10670">
      <w:pPr>
        <w:pStyle w:val="BodyText"/>
        <w:numPr>
          <w:ilvl w:val="1"/>
          <w:numId w:val="12"/>
        </w:numPr>
      </w:pPr>
      <w:r>
        <w:t xml:space="preserve">The derivations in this section </w:t>
      </w:r>
      <w:r w:rsidR="00DE2380">
        <w:t>do not adjust for other</w:t>
      </w:r>
      <w:r>
        <w:t xml:space="preserve"> comprehensive income. The</w:t>
      </w:r>
      <w:r w:rsidR="00DE2380">
        <w:t>se adjustments are discussed later</w:t>
      </w:r>
      <w:r w:rsidR="006C2EEB">
        <w:t>.</w:t>
      </w:r>
    </w:p>
    <w:p w:rsidR="00864705" w:rsidRDefault="0064608F" w:rsidP="00A10670">
      <w:pPr>
        <w:pStyle w:val="BodyText"/>
        <w:numPr>
          <w:ilvl w:val="0"/>
          <w:numId w:val="12"/>
        </w:numPr>
      </w:pPr>
      <w:r>
        <w:t xml:space="preserve">Subtract </w:t>
      </w:r>
      <w:r w:rsidR="00864705">
        <w:t>change in net enterprise assets.</w:t>
      </w:r>
    </w:p>
    <w:p w:rsidR="00864705" w:rsidRDefault="00673985" w:rsidP="00A10670">
      <w:pPr>
        <w:pStyle w:val="BodyText"/>
        <w:numPr>
          <w:ilvl w:val="0"/>
          <w:numId w:val="12"/>
        </w:numPr>
      </w:pPr>
      <w:smartTag w:uri="urn:schemas-microsoft-com:office:smarttags" w:element="City">
        <w:r>
          <w:t>Enterprise</w:t>
        </w:r>
      </w:smartTag>
      <w:r>
        <w:t xml:space="preserve"> cash flow</w:t>
      </w:r>
      <w:r w:rsidR="00864705">
        <w:t xml:space="preserve"> = </w:t>
      </w:r>
      <w:smartTag w:uri="urn:schemas-microsoft-com:office:smarttags" w:element="place">
        <w:smartTag w:uri="urn:schemas-microsoft-com:office:smarttags" w:element="City">
          <w:r w:rsidR="00864705">
            <w:t>Enterprise</w:t>
          </w:r>
        </w:smartTag>
      </w:smartTag>
      <w:r w:rsidR="00864705">
        <w:t xml:space="preserve"> profit after tax </w:t>
      </w:r>
      <w:r w:rsidR="007F7DEF">
        <w:t xml:space="preserve">– Change in </w:t>
      </w:r>
      <w:r w:rsidR="00DD65AA">
        <w:t>net enterprise assets</w:t>
      </w:r>
    </w:p>
    <w:p w:rsidR="00D47F23" w:rsidRDefault="002121F0" w:rsidP="00A10670">
      <w:pPr>
        <w:pStyle w:val="BodyText"/>
        <w:numPr>
          <w:ilvl w:val="1"/>
          <w:numId w:val="12"/>
        </w:numPr>
      </w:pPr>
      <w:r>
        <w:t>Ad</w:t>
      </w:r>
      <w:r w:rsidR="000F6B7B">
        <w:t>vanced point</w:t>
      </w:r>
      <w:r w:rsidR="005717A4">
        <w:t xml:space="preserve"> that may be skipped:</w:t>
      </w:r>
      <w:r>
        <w:t xml:space="preserve"> </w:t>
      </w:r>
      <w:r w:rsidR="003B78F3">
        <w:t xml:space="preserve">The equation above uses change in net enterprise assets from the balance sheet. We do not use adjustments for such changes from GAAP (or IFRS) cash flow statements. </w:t>
      </w:r>
      <w:r w:rsidR="00D47F23">
        <w:t>Usually the amount</w:t>
      </w:r>
      <w:r w:rsidR="003B78F3">
        <w:t>s</w:t>
      </w:r>
      <w:r w:rsidR="00D47F23">
        <w:t xml:space="preserve"> of adjustments </w:t>
      </w:r>
      <w:r w:rsidR="003B78F3">
        <w:t>on the cash</w:t>
      </w:r>
      <w:r w:rsidR="00D47F23">
        <w:t xml:space="preserve"> flow statements differ from changes in balance sheet items. These differences arise from four causes: </w:t>
      </w:r>
    </w:p>
    <w:p w:rsidR="00D47F23" w:rsidRDefault="00D47F23" w:rsidP="006B1265">
      <w:pPr>
        <w:pStyle w:val="BodyText"/>
        <w:numPr>
          <w:ilvl w:val="2"/>
          <w:numId w:val="12"/>
        </w:numPr>
      </w:pPr>
      <w:r>
        <w:t>Items included in investing section instead of operating section such as those due to acquisitions made for cash</w:t>
      </w:r>
      <w:r w:rsidR="00B32C7C">
        <w:t>.</w:t>
      </w:r>
    </w:p>
    <w:p w:rsidR="00D47F23" w:rsidRDefault="00D47F23" w:rsidP="006B1265">
      <w:pPr>
        <w:pStyle w:val="BodyText"/>
        <w:numPr>
          <w:ilvl w:val="2"/>
          <w:numId w:val="12"/>
        </w:numPr>
      </w:pPr>
      <w:r>
        <w:t>Significant non-cash items such as capital leases and acq</w:t>
      </w:r>
      <w:r w:rsidR="00B32C7C">
        <w:t>uisitions in exchange for stock.</w:t>
      </w:r>
    </w:p>
    <w:p w:rsidR="00D47F23" w:rsidRDefault="00D47F23" w:rsidP="006B1265">
      <w:pPr>
        <w:pStyle w:val="BodyText"/>
        <w:numPr>
          <w:ilvl w:val="2"/>
          <w:numId w:val="12"/>
        </w:numPr>
      </w:pPr>
      <w:r>
        <w:t xml:space="preserve">Items included in equity such as stock compensation: </w:t>
      </w:r>
      <w:r w:rsidR="00D534E8">
        <w:t xml:space="preserve">There are three items of interest: (i) The stock compensation expense booked over the vesting period equals the fair value on the grant date. (ii) Cash received upon exercise equals the strike price. (iii) Cash paid to buy back stock equals the stock price on the exercise date. Thus, the net cash cost equals increase in stock price until exercise. </w:t>
      </w:r>
      <w:r w:rsidRPr="00A146B6">
        <w:t>Adjustments</w:t>
      </w:r>
      <w:r>
        <w:t xml:space="preserve"> to </w:t>
      </w:r>
      <w:r w:rsidR="00673985">
        <w:t>enterprise cash flow</w:t>
      </w:r>
      <w:r w:rsidRPr="00A146B6">
        <w:t xml:space="preserve"> for </w:t>
      </w:r>
      <w:r w:rsidR="00B32C7C">
        <w:t>the difference between the compensation expense and the net cash cost a</w:t>
      </w:r>
      <w:r w:rsidRPr="00A146B6">
        <w:t>nd their related tax effects are be</w:t>
      </w:r>
      <w:r w:rsidR="00B32C7C">
        <w:t>yond the scope of this document.</w:t>
      </w:r>
    </w:p>
    <w:p w:rsidR="00A146B6" w:rsidRDefault="00D47F23" w:rsidP="00CB6CE5">
      <w:pPr>
        <w:pStyle w:val="BodyText"/>
        <w:numPr>
          <w:ilvl w:val="2"/>
          <w:numId w:val="12"/>
        </w:numPr>
      </w:pPr>
      <w:r>
        <w:t>Other comprehensive income items such as foreign currency translations, pensions, and healthcare liability adjustments</w:t>
      </w:r>
      <w:r w:rsidR="00B32C7C">
        <w:t>.</w:t>
      </w:r>
      <w:r w:rsidR="00CB6CE5">
        <w:t xml:space="preserve"> </w:t>
      </w:r>
      <w:r>
        <w:t>At the bottom of the spreadsheet, we redo the analysis using comprehensive income instead of net income.</w:t>
      </w:r>
    </w:p>
    <w:p w:rsidR="00864705" w:rsidRDefault="00864705">
      <w:pPr>
        <w:pStyle w:val="Heading3"/>
      </w:pPr>
      <w:r>
        <w:t>Financing cash flows</w:t>
      </w:r>
      <w:r w:rsidR="003971CD">
        <w:t xml:space="preserve"> [= - enterprise cash flows]</w:t>
      </w:r>
    </w:p>
    <w:p w:rsidR="00864705" w:rsidRDefault="00CE3978" w:rsidP="006930C0">
      <w:pPr>
        <w:pStyle w:val="BodyText"/>
      </w:pPr>
      <w:r>
        <w:t>If enterprise cash flows are positive, then cash is available for distribution to lenders and shareholders, or for investment in financial assets. If enterprise cash flows are negative, then cash must be raised by selling financial assets, borrowings from lenders, or contributions from shareholders. That is, t</w:t>
      </w:r>
      <w:r w:rsidR="000B74DA">
        <w:t>he books must balance; i.e.,</w:t>
      </w:r>
      <w:r w:rsidR="000D377D">
        <w:t xml:space="preserve"> </w:t>
      </w:r>
      <w:r w:rsidR="00673985">
        <w:t>enterprise cash flow</w:t>
      </w:r>
      <w:r w:rsidR="000D377D">
        <w:t xml:space="preserve"> </w:t>
      </w:r>
      <w:r w:rsidR="00673985">
        <w:t>+ financial cash flow</w:t>
      </w:r>
      <w:r w:rsidR="00B606B9">
        <w:t xml:space="preserve"> [including net cash flows] = 0</w:t>
      </w:r>
      <w:r w:rsidR="006F3E34">
        <w:t>.</w:t>
      </w:r>
    </w:p>
    <w:p w:rsidR="00864705" w:rsidRDefault="00864705" w:rsidP="00A10670">
      <w:pPr>
        <w:pStyle w:val="BodyText"/>
        <w:numPr>
          <w:ilvl w:val="0"/>
          <w:numId w:val="12"/>
        </w:numPr>
      </w:pPr>
      <w:r>
        <w:t xml:space="preserve">Start with negative of the net </w:t>
      </w:r>
      <w:r w:rsidR="00B606B9">
        <w:t xml:space="preserve">financial </w:t>
      </w:r>
      <w:r>
        <w:t>expense after tax</w:t>
      </w:r>
    </w:p>
    <w:p w:rsidR="00864705" w:rsidRDefault="00864705" w:rsidP="00A10670">
      <w:pPr>
        <w:pStyle w:val="BodyText"/>
        <w:numPr>
          <w:ilvl w:val="0"/>
          <w:numId w:val="12"/>
        </w:numPr>
      </w:pPr>
      <w:r>
        <w:t>Add</w:t>
      </w:r>
      <w:r w:rsidR="00B606B9">
        <w:t xml:space="preserve"> increase (decrease) in net financial liabilities</w:t>
      </w:r>
    </w:p>
    <w:p w:rsidR="00864705" w:rsidRDefault="00864705" w:rsidP="00A10670">
      <w:pPr>
        <w:pStyle w:val="BodyText"/>
        <w:numPr>
          <w:ilvl w:val="0"/>
          <w:numId w:val="12"/>
        </w:numPr>
      </w:pPr>
      <w:r>
        <w:t>Add increase (decrease) in equity due to financial activities such as contributions and distributions</w:t>
      </w:r>
    </w:p>
    <w:p w:rsidR="00864705" w:rsidRDefault="003E1C84" w:rsidP="00A10670">
      <w:pPr>
        <w:pStyle w:val="BodyText"/>
        <w:numPr>
          <w:ilvl w:val="1"/>
          <w:numId w:val="12"/>
        </w:numPr>
      </w:pPr>
      <w:r>
        <w:t>Net c</w:t>
      </w:r>
      <w:r w:rsidR="00864705">
        <w:t>ontributions (distributions) =</w:t>
      </w:r>
      <w:r>
        <w:t xml:space="preserve"> Contributions – distributions = </w:t>
      </w:r>
      <w:r w:rsidR="00864705">
        <w:t xml:space="preserve"> Change in equity – Net income</w:t>
      </w:r>
    </w:p>
    <w:p w:rsidR="003E1C84" w:rsidRDefault="003E1C84" w:rsidP="00A10670">
      <w:pPr>
        <w:pStyle w:val="BodyText"/>
        <w:numPr>
          <w:ilvl w:val="1"/>
          <w:numId w:val="12"/>
        </w:numPr>
      </w:pPr>
      <w:r>
        <w:t>Net c</w:t>
      </w:r>
      <w:r w:rsidRPr="003E1C84">
        <w:t>ontribution</w:t>
      </w:r>
      <w:r>
        <w:t>s</w:t>
      </w:r>
      <w:r w:rsidRPr="003E1C84">
        <w:t xml:space="preserve"> </w:t>
      </w:r>
      <w:r>
        <w:t>= - net distributions</w:t>
      </w:r>
    </w:p>
    <w:p w:rsidR="003E1C84" w:rsidRDefault="003E1C84" w:rsidP="00A10670">
      <w:pPr>
        <w:pStyle w:val="BodyText"/>
        <w:numPr>
          <w:ilvl w:val="1"/>
          <w:numId w:val="12"/>
        </w:numPr>
      </w:pPr>
      <w:r>
        <w:t>Net d</w:t>
      </w:r>
      <w:r w:rsidRPr="003E1C84">
        <w:t>i</w:t>
      </w:r>
      <w:r>
        <w:t>stributions are also called net d</w:t>
      </w:r>
      <w:r w:rsidR="003472D7">
        <w:t>i</w:t>
      </w:r>
      <w:r w:rsidRPr="003E1C84">
        <w:t>vidends</w:t>
      </w:r>
    </w:p>
    <w:p w:rsidR="00864705" w:rsidRDefault="00864705" w:rsidP="00A10670">
      <w:pPr>
        <w:pStyle w:val="BodyText"/>
        <w:numPr>
          <w:ilvl w:val="0"/>
          <w:numId w:val="12"/>
        </w:numPr>
      </w:pPr>
      <w:r>
        <w:t>Financing cash flows raised (distributed) equals the sum of the above items</w:t>
      </w:r>
    </w:p>
    <w:p w:rsidR="00864705" w:rsidRDefault="00864705" w:rsidP="00A10670">
      <w:pPr>
        <w:pStyle w:val="BodyText"/>
        <w:numPr>
          <w:ilvl w:val="0"/>
          <w:numId w:val="12"/>
        </w:numPr>
      </w:pPr>
      <w:r>
        <w:t xml:space="preserve">Check: </w:t>
      </w:r>
      <w:smartTag w:uri="urn:schemas-microsoft-com:office:smarttags" w:element="City">
        <w:smartTag w:uri="urn:schemas-microsoft-com:office:smarttags" w:element="place">
          <w:r w:rsidR="00673985">
            <w:t>Enterprise</w:t>
          </w:r>
        </w:smartTag>
      </w:smartTag>
      <w:r w:rsidR="00673985">
        <w:t xml:space="preserve"> cash flow</w:t>
      </w:r>
      <w:r>
        <w:t xml:space="preserve"> created</w:t>
      </w:r>
      <w:r w:rsidR="00673985">
        <w:t xml:space="preserve"> (needed) + Financial cash flow</w:t>
      </w:r>
      <w:r>
        <w:t xml:space="preserve"> raised (distributed) = 0</w:t>
      </w:r>
    </w:p>
    <w:p w:rsidR="00817964" w:rsidRDefault="00817964" w:rsidP="00817964">
      <w:pPr>
        <w:pStyle w:val="Heading3"/>
      </w:pPr>
      <w:r>
        <w:t>The concept of cash earnings: “Undoing” the accruals</w:t>
      </w:r>
    </w:p>
    <w:p w:rsidR="00817964" w:rsidRDefault="00817964" w:rsidP="00817964">
      <w:pPr>
        <w:pStyle w:val="BodyText"/>
      </w:pPr>
      <w:r>
        <w:t xml:space="preserve">One of the criticisms of accrual accounting is the subjectivity of the accruals. Analysts therefore often want to assess what the earnings would have been had there been no accruals. Such earnings are called cash earnings. We show below how this concept relates to enterprise cash flows. </w:t>
      </w:r>
    </w:p>
    <w:p w:rsidR="00817964" w:rsidRDefault="00817964" w:rsidP="00817964">
      <w:pPr>
        <w:pStyle w:val="BodyText"/>
      </w:pPr>
      <w:r>
        <w:t>EPAT = Enterprise cash flows + Change in NEA</w:t>
      </w:r>
    </w:p>
    <w:p w:rsidR="00817964" w:rsidRDefault="00817964" w:rsidP="00817964">
      <w:pPr>
        <w:pStyle w:val="BodyText"/>
      </w:pPr>
      <w:r>
        <w:t xml:space="preserve">NEA represents enterprise accruals. Had there been no change in NEA, then EPAT would be equal to enterprise cash flows. Thus, </w:t>
      </w:r>
    </w:p>
    <w:p w:rsidR="00AE4958" w:rsidRPr="0053002C" w:rsidRDefault="00AE4958" w:rsidP="00817964">
      <w:pPr>
        <w:pStyle w:val="BodyText"/>
        <w:rPr>
          <w:rStyle w:val="Emphasize"/>
        </w:rPr>
      </w:pPr>
      <w:r w:rsidRPr="0053002C">
        <w:rPr>
          <w:rStyle w:val="Emphasize"/>
        </w:rPr>
        <w:t>“Cash” EPAT = Enterprise cash flows</w:t>
      </w:r>
    </w:p>
    <w:p w:rsidR="00AE4958" w:rsidRDefault="00AE4958" w:rsidP="00817964">
      <w:pPr>
        <w:pStyle w:val="BodyText"/>
      </w:pPr>
      <w:r>
        <w:t>Extending this concept to the equity level is straightforward. We define cash earnings as follows:</w:t>
      </w:r>
    </w:p>
    <w:p w:rsidR="002F0C20" w:rsidRDefault="00AE4958" w:rsidP="00AE4958">
      <w:pPr>
        <w:pStyle w:val="BodyText"/>
        <w:rPr>
          <w:rStyle w:val="Emphasize"/>
        </w:rPr>
      </w:pPr>
      <w:r w:rsidRPr="0053002C">
        <w:rPr>
          <w:rStyle w:val="Emphasize"/>
        </w:rPr>
        <w:t>Cash earnings</w:t>
      </w:r>
      <w:r>
        <w:t xml:space="preserve"> = Enterprise cash flows – net financial expense after tax = </w:t>
      </w:r>
      <w:r w:rsidR="00451947">
        <w:t>EPAT – Chang</w:t>
      </w:r>
      <w:r w:rsidR="00BE6C2A">
        <w:t>e</w:t>
      </w:r>
      <w:r w:rsidR="00451947">
        <w:t xml:space="preserve"> in NEA – net financial expense after tax </w:t>
      </w:r>
      <w:r w:rsidR="00451947" w:rsidRPr="0053002C">
        <w:rPr>
          <w:rStyle w:val="Emphasize"/>
        </w:rPr>
        <w:t>= NI – Change in NEA</w:t>
      </w:r>
      <w:r w:rsidR="007A15E9">
        <w:rPr>
          <w:rStyle w:val="Emphasize"/>
        </w:rPr>
        <w:t>.</w:t>
      </w:r>
    </w:p>
    <w:p w:rsidR="007A15E9" w:rsidRPr="007A15E9" w:rsidRDefault="007A15E9" w:rsidP="007A15E9">
      <w:pPr>
        <w:pStyle w:val="BodyText"/>
      </w:pPr>
      <w:r>
        <w:t>The concept of cash earnings is further developed in FSA4.</w:t>
      </w:r>
    </w:p>
    <w:p w:rsidR="00EB35B4" w:rsidRDefault="00056A4C">
      <w:pPr>
        <w:pStyle w:val="Heading2"/>
      </w:pPr>
      <w:r>
        <w:t>Key metrics</w:t>
      </w:r>
      <w:r w:rsidR="00693315">
        <w:t>: B</w:t>
      </w:r>
      <w:r w:rsidR="00693315" w:rsidRPr="00693315">
        <w:t>asic ratio analysis</w:t>
      </w:r>
    </w:p>
    <w:p w:rsidR="00693315" w:rsidRDefault="00454D09" w:rsidP="00693315">
      <w:pPr>
        <w:pStyle w:val="Heading3"/>
      </w:pPr>
      <w:r>
        <w:t xml:space="preserve">We use </w:t>
      </w:r>
      <w:r w:rsidR="00693315">
        <w:t>beginning</w:t>
      </w:r>
      <w:r>
        <w:t xml:space="preserve"> balances for ratios</w:t>
      </w:r>
      <w:r w:rsidR="0055033D">
        <w:t xml:space="preserve"> instead of ending or average balances</w:t>
      </w:r>
    </w:p>
    <w:p w:rsidR="00693315" w:rsidRDefault="009268D3" w:rsidP="00693315">
      <w:pPr>
        <w:pStyle w:val="BodyText"/>
      </w:pPr>
      <w:r>
        <w:t>R</w:t>
      </w:r>
      <w:r w:rsidR="00693315">
        <w:t>atios</w:t>
      </w:r>
      <w:r w:rsidR="004D2344">
        <w:t xml:space="preserve"> </w:t>
      </w:r>
      <w:r>
        <w:t xml:space="preserve">often </w:t>
      </w:r>
      <w:r w:rsidR="004D2344">
        <w:t>involv</w:t>
      </w:r>
      <w:r>
        <w:t>e</w:t>
      </w:r>
      <w:r w:rsidR="004D2344">
        <w:t xml:space="preserve"> balance sheet numbers. T</w:t>
      </w:r>
      <w:r w:rsidR="00693315">
        <w:t>his spreadsheet</w:t>
      </w:r>
      <w:r w:rsidR="004D2344">
        <w:t xml:space="preserve"> uses begi</w:t>
      </w:r>
      <w:r w:rsidR="00693315">
        <w:t>nning balance</w:t>
      </w:r>
      <w:r w:rsidR="004D2344">
        <w:t>s</w:t>
      </w:r>
      <w:r w:rsidR="00F05BB8">
        <w:t xml:space="preserve"> for ratios</w:t>
      </w:r>
      <w:r w:rsidR="004D2344">
        <w:t xml:space="preserve">. For example, ROE = NI/Beginning equity and Leverage = Beginning net financial liabilities/Beginning equity. </w:t>
      </w:r>
      <w:r w:rsidR="00693315">
        <w:t xml:space="preserve">One </w:t>
      </w:r>
      <w:r w:rsidR="00F05BB8">
        <w:t xml:space="preserve">can use </w:t>
      </w:r>
      <w:r w:rsidR="004D2344">
        <w:t xml:space="preserve">ending or average balances </w:t>
      </w:r>
      <w:r w:rsidR="00F05BB8">
        <w:t>instead</w:t>
      </w:r>
      <w:r w:rsidR="006C61E4">
        <w:t xml:space="preserve"> as long as one</w:t>
      </w:r>
      <w:r w:rsidR="00F05BB8">
        <w:t xml:space="preserve"> use</w:t>
      </w:r>
      <w:r w:rsidR="006C61E4">
        <w:t>s</w:t>
      </w:r>
      <w:r w:rsidR="00F05BB8">
        <w:t xml:space="preserve"> them </w:t>
      </w:r>
      <w:r w:rsidR="004D2344">
        <w:t>consistent</w:t>
      </w:r>
      <w:r w:rsidR="00F05BB8">
        <w:t>ly</w:t>
      </w:r>
      <w:r w:rsidR="004D2344">
        <w:t>.</w:t>
      </w:r>
    </w:p>
    <w:p w:rsidR="007D5282" w:rsidRDefault="007D5282" w:rsidP="00EB35B4">
      <w:pPr>
        <w:pStyle w:val="Heading3"/>
      </w:pPr>
      <w:r>
        <w:t>Growth</w:t>
      </w:r>
    </w:p>
    <w:p w:rsidR="007D5282" w:rsidRDefault="007D5282" w:rsidP="007D5282">
      <w:pPr>
        <w:pStyle w:val="BodyText"/>
        <w:numPr>
          <w:ilvl w:val="0"/>
          <w:numId w:val="12"/>
        </w:numPr>
      </w:pPr>
      <w:r>
        <w:t>Growth rate of sales = (Sales this year/Sales prior year)-1</w:t>
      </w:r>
    </w:p>
    <w:p w:rsidR="007D5282" w:rsidRDefault="005D7F9B" w:rsidP="005D7F9B">
      <w:pPr>
        <w:pStyle w:val="BodyText"/>
        <w:numPr>
          <w:ilvl w:val="1"/>
          <w:numId w:val="12"/>
        </w:numPr>
      </w:pPr>
      <w:r w:rsidRPr="005D7F9B">
        <w:t>Sales growth can include transitory elements due to acquisitions and foreign currency movements.</w:t>
      </w:r>
    </w:p>
    <w:p w:rsidR="007D5282" w:rsidRDefault="007D5282" w:rsidP="007D5282">
      <w:pPr>
        <w:pStyle w:val="BodyText"/>
        <w:numPr>
          <w:ilvl w:val="0"/>
          <w:numId w:val="12"/>
        </w:numPr>
      </w:pPr>
      <w:r>
        <w:t>Growth rate in net enterprise assets = Change in net enterprise assets over the period divided by the net enterprise assets at the beginning of the period</w:t>
      </w:r>
    </w:p>
    <w:p w:rsidR="007D5282" w:rsidRPr="007D5282" w:rsidRDefault="00E52866" w:rsidP="00256296">
      <w:pPr>
        <w:pStyle w:val="BodyText"/>
        <w:numPr>
          <w:ilvl w:val="1"/>
          <w:numId w:val="12"/>
        </w:numPr>
      </w:pPr>
      <w:r>
        <w:t xml:space="preserve">If revenues grow faster </w:t>
      </w:r>
      <w:r w:rsidR="00734EE4">
        <w:t xml:space="preserve">than net enterprise assets, then net enterprise asset turnover improves, which, in turn, improves ROIC. </w:t>
      </w:r>
      <w:r w:rsidR="007C327A">
        <w:t xml:space="preserve">[See computation of enterprise cash flow drivers below.] </w:t>
      </w:r>
      <w:r w:rsidR="00256296" w:rsidRPr="00256296">
        <w:t xml:space="preserve">A qualification is necessary: the growth in sales may lag the growth in </w:t>
      </w:r>
      <w:r w:rsidR="00256296">
        <w:t>net enterprise assets</w:t>
      </w:r>
      <w:r w:rsidR="00256296" w:rsidRPr="00256296">
        <w:t xml:space="preserve">. In such </w:t>
      </w:r>
      <w:r w:rsidR="00256296">
        <w:t xml:space="preserve">a </w:t>
      </w:r>
      <w:r w:rsidR="00256296" w:rsidRPr="00256296">
        <w:t>case</w:t>
      </w:r>
      <w:r w:rsidR="00256296">
        <w:t>,</w:t>
      </w:r>
      <w:r w:rsidR="00256296" w:rsidRPr="00256296">
        <w:t xml:space="preserve"> the sales growth may look inadequate relative to the investment growth</w:t>
      </w:r>
      <w:r w:rsidR="00256296">
        <w:t>.</w:t>
      </w:r>
    </w:p>
    <w:p w:rsidR="00CC5D1D" w:rsidRDefault="006D02F3" w:rsidP="00EB35B4">
      <w:pPr>
        <w:pStyle w:val="Heading3"/>
      </w:pPr>
      <w:r>
        <w:t>Return on invested capital [ROIC]</w:t>
      </w:r>
    </w:p>
    <w:p w:rsidR="002A1BB6" w:rsidRDefault="002A1BB6" w:rsidP="00A10670">
      <w:pPr>
        <w:pStyle w:val="BodyText"/>
        <w:numPr>
          <w:ilvl w:val="0"/>
          <w:numId w:val="12"/>
        </w:numPr>
      </w:pPr>
      <w:bookmarkStart w:id="1" w:name="OLE_LINK1"/>
      <w:r>
        <w:t xml:space="preserve">Return on </w:t>
      </w:r>
      <w:r w:rsidR="006D02F3">
        <w:t>invested</w:t>
      </w:r>
      <w:r w:rsidR="00D77C60">
        <w:t xml:space="preserve"> capital = Profit earned on invested capital divided by beginning invested capital</w:t>
      </w:r>
    </w:p>
    <w:p w:rsidR="00D77C60" w:rsidRDefault="000B1F0A" w:rsidP="00DF5509">
      <w:pPr>
        <w:pStyle w:val="BodyText"/>
        <w:numPr>
          <w:ilvl w:val="1"/>
          <w:numId w:val="12"/>
        </w:numPr>
      </w:pPr>
      <w:r>
        <w:t>Profit earned on invested capital equals hypothetical net income assuming no financial income or financial expense. This “unlevered” or “prefinancing” net income represents what the net income would be had net financial liabilities been replaced by equity. As derived earlier, profit on invested capital is the same as enterprise profit after tax.</w:t>
      </w:r>
      <w:r w:rsidR="00D77C60">
        <w:t xml:space="preserve"> </w:t>
      </w:r>
    </w:p>
    <w:p w:rsidR="000B1F0A" w:rsidRDefault="000B1F0A" w:rsidP="000B1F0A">
      <w:pPr>
        <w:pStyle w:val="BodyText"/>
        <w:numPr>
          <w:ilvl w:val="2"/>
          <w:numId w:val="12"/>
        </w:numPr>
      </w:pPr>
      <w:r>
        <w:t>To be consistent with our terminology, invested capital should be called enterprise capital. However, we will use the name invested capital to conform to the wide usage of this term.</w:t>
      </w:r>
    </w:p>
    <w:p w:rsidR="000B1F0A" w:rsidRDefault="000B1F0A" w:rsidP="000B1F0A">
      <w:pPr>
        <w:pStyle w:val="BodyText"/>
        <w:numPr>
          <w:ilvl w:val="2"/>
          <w:numId w:val="12"/>
        </w:numPr>
      </w:pPr>
      <w:r>
        <w:t>Since invested capital equals net enterprise assets, return on invested capital is also called return on net enterprise assets.</w:t>
      </w:r>
    </w:p>
    <w:p w:rsidR="00BE59FB" w:rsidRDefault="00BE59FB" w:rsidP="00BE59FB">
      <w:pPr>
        <w:pStyle w:val="BodyText"/>
        <w:numPr>
          <w:ilvl w:val="1"/>
          <w:numId w:val="12"/>
        </w:numPr>
      </w:pPr>
      <w:r>
        <w:t>ROIC is not meaningful if invested capital is negative. This can happen because of two unrelated reasons: (i) assets are understated due to conservative accounting, or (ii) firm relies on its suppliers for credit, i.e., it substitutes enterprise liabilities for financial liabilities.</w:t>
      </w:r>
    </w:p>
    <w:p w:rsidR="00BE59FB" w:rsidRDefault="00BE59FB" w:rsidP="00BE59FB">
      <w:pPr>
        <w:pStyle w:val="BodyText"/>
        <w:numPr>
          <w:ilvl w:val="1"/>
          <w:numId w:val="12"/>
        </w:numPr>
      </w:pPr>
      <w:r>
        <w:t xml:space="preserve">As discussed later, ROIC is biased upward or downward depending on the sign of enterprise cash flows. </w:t>
      </w:r>
    </w:p>
    <w:bookmarkEnd w:id="1"/>
    <w:p w:rsidR="00757039" w:rsidRDefault="00757039" w:rsidP="00A10670">
      <w:pPr>
        <w:pStyle w:val="BodyText"/>
        <w:numPr>
          <w:ilvl w:val="0"/>
          <w:numId w:val="12"/>
        </w:numPr>
      </w:pPr>
      <w:r>
        <w:t>Input: Sales</w:t>
      </w:r>
    </w:p>
    <w:p w:rsidR="00A53735" w:rsidRDefault="00A53735" w:rsidP="00A10670">
      <w:pPr>
        <w:pStyle w:val="BodyText"/>
        <w:numPr>
          <w:ilvl w:val="0"/>
          <w:numId w:val="12"/>
        </w:numPr>
      </w:pPr>
      <w:r>
        <w:t>Refer to the input for sales.</w:t>
      </w:r>
    </w:p>
    <w:p w:rsidR="00757039" w:rsidRDefault="00757039" w:rsidP="00A10670">
      <w:pPr>
        <w:pStyle w:val="BodyText"/>
        <w:numPr>
          <w:ilvl w:val="0"/>
          <w:numId w:val="12"/>
        </w:numPr>
      </w:pPr>
      <w:smartTag w:uri="urn:schemas-microsoft-com:office:smarttags" w:element="City">
        <w:r>
          <w:t>Enterprise</w:t>
        </w:r>
      </w:smartTag>
      <w:r>
        <w:t xml:space="preserve"> profit margin after tax = </w:t>
      </w:r>
      <w:smartTag w:uri="urn:schemas-microsoft-com:office:smarttags" w:element="City">
        <w:smartTag w:uri="urn:schemas-microsoft-com:office:smarttags" w:element="place">
          <w:r w:rsidR="00A53735">
            <w:t>Enterprise</w:t>
          </w:r>
        </w:smartTag>
      </w:smartTag>
      <w:r w:rsidR="00A53735">
        <w:t xml:space="preserve"> profit after tax</w:t>
      </w:r>
      <w:r>
        <w:t>/Sales</w:t>
      </w:r>
    </w:p>
    <w:p w:rsidR="00757039" w:rsidRDefault="00757039" w:rsidP="00A10670">
      <w:pPr>
        <w:pStyle w:val="BodyText"/>
        <w:numPr>
          <w:ilvl w:val="0"/>
          <w:numId w:val="12"/>
        </w:numPr>
      </w:pPr>
      <w:r>
        <w:t>Net enterprise asset turnover = Sales/</w:t>
      </w:r>
      <w:r w:rsidR="00A53735">
        <w:t>Beginning n</w:t>
      </w:r>
      <w:r>
        <w:t>et enterprise assets</w:t>
      </w:r>
    </w:p>
    <w:p w:rsidR="00A53735" w:rsidRDefault="00A53735" w:rsidP="00A10670">
      <w:pPr>
        <w:pStyle w:val="BodyText"/>
        <w:numPr>
          <w:ilvl w:val="1"/>
          <w:numId w:val="12"/>
        </w:numPr>
      </w:pPr>
      <w:r>
        <w:t xml:space="preserve">One can also use average </w:t>
      </w:r>
      <w:r w:rsidR="00070258">
        <w:t>net enterprise assets instead of beginning net enterprise assets</w:t>
      </w:r>
    </w:p>
    <w:p w:rsidR="00757039" w:rsidRDefault="00757039" w:rsidP="00757039">
      <w:pPr>
        <w:numPr>
          <w:ilvl w:val="0"/>
          <w:numId w:val="12"/>
        </w:numPr>
      </w:pPr>
    </w:p>
    <w:tbl>
      <w:tblPr>
        <w:tblW w:w="0" w:type="auto"/>
        <w:tblInd w:w="619" w:type="dxa"/>
        <w:tblLook w:val="01E0" w:firstRow="1" w:lastRow="1" w:firstColumn="1" w:lastColumn="1" w:noHBand="0" w:noVBand="0"/>
      </w:tblPr>
      <w:tblGrid>
        <w:gridCol w:w="742"/>
        <w:gridCol w:w="341"/>
        <w:gridCol w:w="3120"/>
        <w:gridCol w:w="323"/>
        <w:gridCol w:w="2739"/>
      </w:tblGrid>
      <w:tr w:rsidR="00220C7F" w:rsidTr="00220C7F">
        <w:trPr>
          <w:cantSplit/>
        </w:trPr>
        <w:tc>
          <w:tcPr>
            <w:tcW w:w="0" w:type="auto"/>
          </w:tcPr>
          <w:p w:rsidR="00220C7F" w:rsidRDefault="00220C7F" w:rsidP="00C93C44">
            <w:pPr>
              <w:keepNext/>
            </w:pPr>
            <w:r>
              <w:t>ROIC</w:t>
            </w:r>
          </w:p>
        </w:tc>
        <w:tc>
          <w:tcPr>
            <w:tcW w:w="0" w:type="auto"/>
          </w:tcPr>
          <w:p w:rsidR="00220C7F" w:rsidRDefault="00220C7F" w:rsidP="00C93C44">
            <w:pPr>
              <w:keepNext/>
            </w:pPr>
            <w:r>
              <w:t>=</w:t>
            </w:r>
          </w:p>
        </w:tc>
        <w:tc>
          <w:tcPr>
            <w:tcW w:w="0" w:type="auto"/>
            <w:tcBorders>
              <w:bottom w:val="single" w:sz="2" w:space="0" w:color="auto"/>
            </w:tcBorders>
          </w:tcPr>
          <w:p w:rsidR="00220C7F" w:rsidRDefault="00220C7F" w:rsidP="00C93C44">
            <w:pPr>
              <w:keepNext/>
              <w:jc w:val="center"/>
            </w:pPr>
            <w:smartTag w:uri="urn:schemas-microsoft-com:office:smarttags" w:element="place">
              <w:smartTag w:uri="urn:schemas-microsoft-com:office:smarttags" w:element="City">
                <w:r>
                  <w:t>Enterprise</w:t>
                </w:r>
              </w:smartTag>
            </w:smartTag>
            <w:r>
              <w:t xml:space="preserve"> profit after tax</w:t>
            </w:r>
          </w:p>
        </w:tc>
        <w:tc>
          <w:tcPr>
            <w:tcW w:w="0" w:type="auto"/>
            <w:vMerge w:val="restart"/>
            <w:vAlign w:val="center"/>
          </w:tcPr>
          <w:p w:rsidR="00220C7F" w:rsidRPr="00220C7F" w:rsidRDefault="00220C7F" w:rsidP="00220C7F">
            <w:pPr>
              <w:keepNext/>
              <w:jc w:val="center"/>
              <w:rPr>
                <w:rFonts w:ascii="Arial" w:hAnsi="Arial" w:cs="Arial"/>
                <w:sz w:val="16"/>
                <w:szCs w:val="16"/>
              </w:rPr>
            </w:pPr>
            <w:r w:rsidRPr="00220C7F">
              <w:rPr>
                <w:rFonts w:ascii="Arial" w:hAnsi="Arial" w:cs="Arial"/>
                <w:sz w:val="16"/>
                <w:szCs w:val="16"/>
              </w:rPr>
              <w:t>X</w:t>
            </w:r>
          </w:p>
        </w:tc>
        <w:tc>
          <w:tcPr>
            <w:tcW w:w="0" w:type="auto"/>
            <w:tcBorders>
              <w:bottom w:val="single" w:sz="2" w:space="0" w:color="auto"/>
            </w:tcBorders>
          </w:tcPr>
          <w:p w:rsidR="00220C7F" w:rsidRDefault="00220C7F" w:rsidP="00C93C44">
            <w:pPr>
              <w:keepNext/>
              <w:jc w:val="center"/>
            </w:pPr>
            <w:r>
              <w:t>Sales</w:t>
            </w:r>
          </w:p>
        </w:tc>
      </w:tr>
      <w:tr w:rsidR="00220C7F" w:rsidTr="009234A9">
        <w:trPr>
          <w:cantSplit/>
        </w:trPr>
        <w:tc>
          <w:tcPr>
            <w:tcW w:w="0" w:type="auto"/>
          </w:tcPr>
          <w:p w:rsidR="00220C7F" w:rsidRDefault="00220C7F" w:rsidP="00C93C44">
            <w:pPr>
              <w:keepNext/>
            </w:pPr>
          </w:p>
        </w:tc>
        <w:tc>
          <w:tcPr>
            <w:tcW w:w="0" w:type="auto"/>
          </w:tcPr>
          <w:p w:rsidR="00220C7F" w:rsidRDefault="00220C7F" w:rsidP="00C93C44">
            <w:pPr>
              <w:keepNext/>
            </w:pPr>
          </w:p>
        </w:tc>
        <w:tc>
          <w:tcPr>
            <w:tcW w:w="0" w:type="auto"/>
            <w:tcBorders>
              <w:top w:val="single" w:sz="2" w:space="0" w:color="auto"/>
            </w:tcBorders>
          </w:tcPr>
          <w:p w:rsidR="00220C7F" w:rsidRDefault="00220C7F" w:rsidP="00C93C44">
            <w:pPr>
              <w:keepNext/>
              <w:jc w:val="center"/>
            </w:pPr>
            <w:r>
              <w:t>Sales</w:t>
            </w:r>
          </w:p>
        </w:tc>
        <w:tc>
          <w:tcPr>
            <w:tcW w:w="0" w:type="auto"/>
            <w:vMerge/>
          </w:tcPr>
          <w:p w:rsidR="00220C7F" w:rsidRDefault="00220C7F" w:rsidP="00C93C44">
            <w:pPr>
              <w:keepNext/>
            </w:pPr>
          </w:p>
        </w:tc>
        <w:tc>
          <w:tcPr>
            <w:tcW w:w="0" w:type="auto"/>
            <w:tcBorders>
              <w:top w:val="single" w:sz="2" w:space="0" w:color="auto"/>
            </w:tcBorders>
          </w:tcPr>
          <w:p w:rsidR="00220C7F" w:rsidRDefault="00220C7F" w:rsidP="00C93C44">
            <w:pPr>
              <w:keepNext/>
              <w:jc w:val="center"/>
            </w:pPr>
            <w:r>
              <w:t>Net enterprise assets</w:t>
            </w:r>
          </w:p>
        </w:tc>
      </w:tr>
      <w:tr w:rsidR="00731638" w:rsidTr="009234A9">
        <w:trPr>
          <w:cantSplit/>
        </w:trPr>
        <w:tc>
          <w:tcPr>
            <w:tcW w:w="0" w:type="auto"/>
          </w:tcPr>
          <w:p w:rsidR="00731638" w:rsidRDefault="00731638" w:rsidP="00C93C44">
            <w:pPr>
              <w:keepNext/>
            </w:pPr>
          </w:p>
        </w:tc>
        <w:tc>
          <w:tcPr>
            <w:tcW w:w="0" w:type="auto"/>
          </w:tcPr>
          <w:p w:rsidR="00731638" w:rsidRDefault="00731638" w:rsidP="00C93C44">
            <w:pPr>
              <w:keepNext/>
            </w:pPr>
          </w:p>
        </w:tc>
        <w:tc>
          <w:tcPr>
            <w:tcW w:w="0" w:type="auto"/>
          </w:tcPr>
          <w:p w:rsidR="00731638" w:rsidRDefault="00731638" w:rsidP="00C93C44">
            <w:pPr>
              <w:keepNext/>
              <w:jc w:val="center"/>
            </w:pPr>
          </w:p>
        </w:tc>
        <w:tc>
          <w:tcPr>
            <w:tcW w:w="0" w:type="auto"/>
          </w:tcPr>
          <w:p w:rsidR="00731638" w:rsidRDefault="00731638" w:rsidP="00C93C44">
            <w:pPr>
              <w:keepNext/>
            </w:pPr>
          </w:p>
        </w:tc>
        <w:tc>
          <w:tcPr>
            <w:tcW w:w="0" w:type="auto"/>
          </w:tcPr>
          <w:p w:rsidR="00731638" w:rsidRDefault="00731638" w:rsidP="00C93C44">
            <w:pPr>
              <w:keepNext/>
              <w:jc w:val="center"/>
            </w:pPr>
          </w:p>
        </w:tc>
      </w:tr>
      <w:tr w:rsidR="00731638" w:rsidTr="009234A9">
        <w:trPr>
          <w:cantSplit/>
        </w:trPr>
        <w:tc>
          <w:tcPr>
            <w:tcW w:w="0" w:type="auto"/>
          </w:tcPr>
          <w:p w:rsidR="00731638" w:rsidRDefault="00731638" w:rsidP="00C93C44"/>
        </w:tc>
        <w:tc>
          <w:tcPr>
            <w:tcW w:w="0" w:type="auto"/>
          </w:tcPr>
          <w:p w:rsidR="00731638" w:rsidRDefault="00731638" w:rsidP="00C93C44">
            <w:r>
              <w:t>=</w:t>
            </w:r>
          </w:p>
        </w:tc>
        <w:tc>
          <w:tcPr>
            <w:tcW w:w="0" w:type="auto"/>
          </w:tcPr>
          <w:p w:rsidR="00731638" w:rsidRDefault="00731638" w:rsidP="00C93C44">
            <w:pPr>
              <w:jc w:val="center"/>
            </w:pPr>
            <w:smartTag w:uri="urn:schemas-microsoft-com:office:smarttags" w:element="place">
              <w:smartTag w:uri="urn:schemas-microsoft-com:office:smarttags" w:element="City">
                <w:r>
                  <w:t>Enterprise</w:t>
                </w:r>
              </w:smartTag>
            </w:smartTag>
            <w:r>
              <w:t xml:space="preserve"> profit margin after tax</w:t>
            </w:r>
          </w:p>
        </w:tc>
        <w:tc>
          <w:tcPr>
            <w:tcW w:w="0" w:type="auto"/>
          </w:tcPr>
          <w:p w:rsidR="00731638" w:rsidRDefault="00220C7F" w:rsidP="00C93C44">
            <w:r w:rsidRPr="00220C7F">
              <w:rPr>
                <w:rFonts w:ascii="Arial" w:hAnsi="Arial" w:cs="Arial"/>
                <w:sz w:val="16"/>
                <w:szCs w:val="16"/>
              </w:rPr>
              <w:t>X</w:t>
            </w:r>
          </w:p>
        </w:tc>
        <w:tc>
          <w:tcPr>
            <w:tcW w:w="0" w:type="auto"/>
          </w:tcPr>
          <w:p w:rsidR="00731638" w:rsidRDefault="00731638" w:rsidP="00C93C44">
            <w:pPr>
              <w:jc w:val="center"/>
            </w:pPr>
            <w:r>
              <w:t>Net enterprise asset turnover</w:t>
            </w:r>
          </w:p>
        </w:tc>
      </w:tr>
    </w:tbl>
    <w:p w:rsidR="00731638" w:rsidRDefault="00731638" w:rsidP="00731638"/>
    <w:p w:rsidR="00C20673" w:rsidRPr="00757039" w:rsidRDefault="00C20673" w:rsidP="00731638">
      <w:pPr>
        <w:numPr>
          <w:ilvl w:val="0"/>
          <w:numId w:val="12"/>
        </w:numPr>
      </w:pPr>
      <w:r>
        <w:t>Check: ROIC – margin * turnover = 0</w:t>
      </w:r>
    </w:p>
    <w:p w:rsidR="00EB35B4" w:rsidRDefault="00EB35B4" w:rsidP="00EB35B4">
      <w:pPr>
        <w:pStyle w:val="Heading3"/>
      </w:pPr>
      <w:r>
        <w:t>Enterprise cash flow drivers</w:t>
      </w:r>
      <w:r w:rsidR="00652747">
        <w:t>: ROIC and growth</w:t>
      </w:r>
    </w:p>
    <w:p w:rsidR="004F72D4" w:rsidRDefault="00630914" w:rsidP="00CD5A59">
      <w:pPr>
        <w:pStyle w:val="BodyText"/>
      </w:pPr>
      <w:r>
        <w:t>ECF = EPAT – Change in NEA</w:t>
      </w:r>
    </w:p>
    <w:p w:rsidR="00630914" w:rsidRDefault="00630914" w:rsidP="00CD5A59">
      <w:pPr>
        <w:pStyle w:val="BodyText"/>
      </w:pPr>
      <w:r>
        <w:t>ECF/Beginning NEA = EPAT/Beginning NEA – Change in NEA/Beginning NEA</w:t>
      </w:r>
    </w:p>
    <w:p w:rsidR="00630914" w:rsidRDefault="00575E41" w:rsidP="00CD5A59">
      <w:pPr>
        <w:pStyle w:val="BodyText"/>
      </w:pPr>
      <w:r>
        <w:t>ECF</w:t>
      </w:r>
      <w:r w:rsidR="00D302BA">
        <w:t xml:space="preserve"> yield on net enterprise assets</w:t>
      </w:r>
      <w:r w:rsidR="00630914">
        <w:t xml:space="preserve"> = ROIC – growth rate in beginning NEA</w:t>
      </w:r>
    </w:p>
    <w:p w:rsidR="00630914" w:rsidRDefault="00630914" w:rsidP="00A10670">
      <w:pPr>
        <w:pStyle w:val="BodyText"/>
        <w:numPr>
          <w:ilvl w:val="0"/>
          <w:numId w:val="12"/>
        </w:numPr>
      </w:pPr>
      <w:smartTag w:uri="urn:schemas-microsoft-com:office:smarttags" w:element="City">
        <w:smartTag w:uri="urn:schemas-microsoft-com:office:smarttags" w:element="place">
          <w:r>
            <w:t>Enterprise</w:t>
          </w:r>
        </w:smartTag>
      </w:smartTag>
      <w:r>
        <w:t xml:space="preserve"> cash flow yield = enterprise cash flow/Beginning net enterprise assets</w:t>
      </w:r>
    </w:p>
    <w:p w:rsidR="00630914" w:rsidRDefault="00630914" w:rsidP="00A10670">
      <w:pPr>
        <w:pStyle w:val="BodyText"/>
        <w:numPr>
          <w:ilvl w:val="0"/>
          <w:numId w:val="12"/>
        </w:numPr>
      </w:pPr>
      <w:r>
        <w:t>Start with ROIC = EPAT/Beginning NEA</w:t>
      </w:r>
    </w:p>
    <w:p w:rsidR="00EB35B4" w:rsidRDefault="00EB35B4" w:rsidP="00A10670">
      <w:pPr>
        <w:pStyle w:val="BodyText"/>
        <w:numPr>
          <w:ilvl w:val="0"/>
          <w:numId w:val="12"/>
        </w:numPr>
      </w:pPr>
      <w:r>
        <w:t>Less: Growth rate in net enterprise assets = Change in net enterprise assets over the period divided by the net enterprise assets at the beginning of the period</w:t>
      </w:r>
    </w:p>
    <w:p w:rsidR="00EB35B4" w:rsidRDefault="00EB35B4" w:rsidP="00A10670">
      <w:pPr>
        <w:pStyle w:val="BodyText"/>
        <w:numPr>
          <w:ilvl w:val="0"/>
          <w:numId w:val="12"/>
        </w:numPr>
      </w:pPr>
      <w:r>
        <w:t xml:space="preserve">= </w:t>
      </w:r>
      <w:smartTag w:uri="urn:schemas-microsoft-com:office:smarttags" w:element="City">
        <w:smartTag w:uri="urn:schemas-microsoft-com:office:smarttags" w:element="place">
          <w:r w:rsidR="00630914">
            <w:t>Enterprise</w:t>
          </w:r>
        </w:smartTag>
      </w:smartTag>
      <w:r w:rsidR="00630914">
        <w:t xml:space="preserve"> </w:t>
      </w:r>
      <w:r>
        <w:t>cash flow yield on net enterprise assets, which is the ratio</w:t>
      </w:r>
      <w:r w:rsidR="00673985">
        <w:t xml:space="preserve"> of</w:t>
      </w:r>
      <w:r>
        <w:t xml:space="preserve"> </w:t>
      </w:r>
      <w:r w:rsidR="00E56A74">
        <w:t>enterprise cash flow</w:t>
      </w:r>
      <w:r>
        <w:t xml:space="preserve"> to beginning net enterprise assets</w:t>
      </w:r>
    </w:p>
    <w:p w:rsidR="00156F02" w:rsidRDefault="00AE695D" w:rsidP="00AE695D">
      <w:pPr>
        <w:pStyle w:val="BodyText"/>
        <w:numPr>
          <w:ilvl w:val="1"/>
          <w:numId w:val="12"/>
        </w:numPr>
      </w:pPr>
      <w:r>
        <w:t xml:space="preserve">Highly valued companies are likely to have high RNEA and a high growth in sales and NEA. The high growth makes ECF less than EPAT. In fact, ECF is negative if the growth rate in NEA exceeds ROIC. </w:t>
      </w:r>
      <w:r w:rsidR="006436CE">
        <w:t>Therefore, enterprise cash flow</w:t>
      </w:r>
      <w:r w:rsidR="007B202F">
        <w:t>s</w:t>
      </w:r>
      <w:r w:rsidR="006436CE">
        <w:t xml:space="preserve"> should not be used </w:t>
      </w:r>
      <w:r w:rsidR="006C73A8">
        <w:t>to measure wealth creation.</w:t>
      </w:r>
    </w:p>
    <w:p w:rsidR="00625760" w:rsidRDefault="00AE695D" w:rsidP="00AE695D">
      <w:pPr>
        <w:pStyle w:val="BodyText"/>
        <w:numPr>
          <w:ilvl w:val="1"/>
          <w:numId w:val="12"/>
        </w:numPr>
      </w:pPr>
      <w:r>
        <w:t>In the future, one expects ECF and EPAT will grow while ROIC can stay the same</w:t>
      </w:r>
      <w:r w:rsidR="00625760">
        <w:t xml:space="preserve"> </w:t>
      </w:r>
    </w:p>
    <w:p w:rsidR="00DB325F" w:rsidRDefault="00EB35B4" w:rsidP="005512ED">
      <w:pPr>
        <w:pStyle w:val="BodyText"/>
        <w:numPr>
          <w:ilvl w:val="0"/>
          <w:numId w:val="12"/>
        </w:numPr>
      </w:pPr>
      <w:r>
        <w:t xml:space="preserve">Check: </w:t>
      </w:r>
      <w:smartTag w:uri="urn:schemas-microsoft-com:office:smarttags" w:element="City">
        <w:r w:rsidR="001E5EA9">
          <w:t>Enterprise</w:t>
        </w:r>
      </w:smartTag>
      <w:r>
        <w:t xml:space="preserve"> cash flow yield: </w:t>
      </w:r>
      <w:smartTag w:uri="urn:schemas-microsoft-com:office:smarttags" w:element="place">
        <w:smartTag w:uri="urn:schemas-microsoft-com:office:smarttags" w:element="City">
          <w:r w:rsidR="001E5EA9">
            <w:t>Enterprise</w:t>
          </w:r>
        </w:smartTag>
      </w:smartTag>
      <w:r w:rsidR="001E5EA9">
        <w:t xml:space="preserve"> cash flow</w:t>
      </w:r>
      <w:r>
        <w:t>/</w:t>
      </w:r>
      <w:r w:rsidR="001E5EA9">
        <w:t xml:space="preserve">Beginning </w:t>
      </w:r>
      <w:r>
        <w:t>NEA</w:t>
      </w:r>
    </w:p>
    <w:p w:rsidR="005E7189" w:rsidRDefault="005E7189" w:rsidP="005E7189">
      <w:pPr>
        <w:pStyle w:val="Heading3"/>
      </w:pPr>
      <w:r>
        <w:t xml:space="preserve">Equity performance [ROE]: </w:t>
      </w:r>
      <w:smartTag w:uri="urn:schemas-microsoft-com:office:smarttags" w:element="City">
        <w:smartTag w:uri="urn:schemas-microsoft-com:office:smarttags" w:element="place">
          <w:r>
            <w:t>Enterprise</w:t>
          </w:r>
        </w:smartTag>
      </w:smartTag>
      <w:r>
        <w:t xml:space="preserve"> performance (ROIC) and leverage</w:t>
      </w:r>
    </w:p>
    <w:tbl>
      <w:tblPr>
        <w:tblW w:w="0" w:type="auto"/>
        <w:tblLook w:val="01E0" w:firstRow="1" w:lastRow="1" w:firstColumn="1" w:lastColumn="1" w:noHBand="0" w:noVBand="0"/>
      </w:tblPr>
      <w:tblGrid>
        <w:gridCol w:w="2337"/>
        <w:gridCol w:w="341"/>
        <w:gridCol w:w="2239"/>
        <w:gridCol w:w="341"/>
        <w:gridCol w:w="1237"/>
      </w:tblGrid>
      <w:tr w:rsidR="005E7189" w:rsidTr="00E72446">
        <w:trPr>
          <w:cantSplit/>
        </w:trPr>
        <w:tc>
          <w:tcPr>
            <w:tcW w:w="0" w:type="auto"/>
          </w:tcPr>
          <w:p w:rsidR="005E7189" w:rsidRDefault="005E7189" w:rsidP="00E72446">
            <w:pPr>
              <w:keepNext/>
            </w:pPr>
            <w:r>
              <w:t>Return on equity [ROE]</w:t>
            </w:r>
          </w:p>
        </w:tc>
        <w:tc>
          <w:tcPr>
            <w:tcW w:w="0" w:type="auto"/>
          </w:tcPr>
          <w:p w:rsidR="005E7189" w:rsidRDefault="005E7189" w:rsidP="00E72446">
            <w:pPr>
              <w:keepNext/>
            </w:pPr>
            <w:r>
              <w:t>=</w:t>
            </w:r>
          </w:p>
        </w:tc>
        <w:tc>
          <w:tcPr>
            <w:tcW w:w="0" w:type="auto"/>
            <w:tcBorders>
              <w:bottom w:val="single" w:sz="2" w:space="0" w:color="auto"/>
            </w:tcBorders>
          </w:tcPr>
          <w:p w:rsidR="005E7189" w:rsidRDefault="005E7189" w:rsidP="00E72446">
            <w:pPr>
              <w:keepNext/>
              <w:jc w:val="center"/>
            </w:pPr>
            <w:r>
              <w:t>Profit earned on equity</w:t>
            </w:r>
          </w:p>
        </w:tc>
        <w:tc>
          <w:tcPr>
            <w:tcW w:w="0" w:type="auto"/>
          </w:tcPr>
          <w:p w:rsidR="005E7189" w:rsidRDefault="005E7189" w:rsidP="00E72446">
            <w:pPr>
              <w:keepNext/>
            </w:pPr>
            <w:r>
              <w:t>=</w:t>
            </w:r>
          </w:p>
        </w:tc>
        <w:tc>
          <w:tcPr>
            <w:tcW w:w="0" w:type="auto"/>
            <w:tcBorders>
              <w:bottom w:val="single" w:sz="2" w:space="0" w:color="auto"/>
            </w:tcBorders>
          </w:tcPr>
          <w:p w:rsidR="005E7189" w:rsidRDefault="005E7189" w:rsidP="00E72446">
            <w:pPr>
              <w:keepNext/>
              <w:jc w:val="center"/>
            </w:pPr>
            <w:r>
              <w:t>Net income</w:t>
            </w:r>
          </w:p>
        </w:tc>
      </w:tr>
      <w:tr w:rsidR="005E7189" w:rsidTr="00E72446">
        <w:trPr>
          <w:cantSplit/>
        </w:trPr>
        <w:tc>
          <w:tcPr>
            <w:tcW w:w="0" w:type="auto"/>
          </w:tcPr>
          <w:p w:rsidR="005E7189" w:rsidRDefault="005E7189" w:rsidP="00E72446"/>
        </w:tc>
        <w:tc>
          <w:tcPr>
            <w:tcW w:w="0" w:type="auto"/>
          </w:tcPr>
          <w:p w:rsidR="005E7189" w:rsidRDefault="005E7189" w:rsidP="00E72446"/>
        </w:tc>
        <w:tc>
          <w:tcPr>
            <w:tcW w:w="0" w:type="auto"/>
            <w:tcBorders>
              <w:top w:val="single" w:sz="2" w:space="0" w:color="auto"/>
            </w:tcBorders>
          </w:tcPr>
          <w:p w:rsidR="005E7189" w:rsidRDefault="005E7189" w:rsidP="00E72446">
            <w:pPr>
              <w:jc w:val="center"/>
            </w:pPr>
            <w:r>
              <w:t>Equity</w:t>
            </w:r>
          </w:p>
        </w:tc>
        <w:tc>
          <w:tcPr>
            <w:tcW w:w="0" w:type="auto"/>
          </w:tcPr>
          <w:p w:rsidR="005E7189" w:rsidRDefault="005E7189" w:rsidP="00E72446"/>
        </w:tc>
        <w:tc>
          <w:tcPr>
            <w:tcW w:w="0" w:type="auto"/>
            <w:tcBorders>
              <w:top w:val="single" w:sz="2" w:space="0" w:color="auto"/>
            </w:tcBorders>
          </w:tcPr>
          <w:p w:rsidR="005E7189" w:rsidRDefault="005E7189" w:rsidP="00E72446">
            <w:pPr>
              <w:jc w:val="center"/>
            </w:pPr>
            <w:r>
              <w:t>Equity</w:t>
            </w:r>
          </w:p>
        </w:tc>
      </w:tr>
    </w:tbl>
    <w:p w:rsidR="005E7189" w:rsidRDefault="005E7189" w:rsidP="005E7189"/>
    <w:p w:rsidR="005E7189" w:rsidRDefault="005E7189" w:rsidP="005E7189">
      <w:r>
        <w:t>r</w:t>
      </w:r>
      <w:r w:rsidRPr="00C93C44">
        <w:rPr>
          <w:vertAlign w:val="subscript"/>
        </w:rPr>
        <w:t>d</w:t>
      </w:r>
      <w:r>
        <w:t xml:space="preserve"> = Financial expense rate, after tax = Financial expense, after tax/Financial liabilities</w:t>
      </w:r>
    </w:p>
    <w:p w:rsidR="005E7189" w:rsidRDefault="005E7189" w:rsidP="005E7189">
      <w:r>
        <w:t>r</w:t>
      </w:r>
      <w:r>
        <w:rPr>
          <w:vertAlign w:val="subscript"/>
        </w:rPr>
        <w:t>c</w:t>
      </w:r>
      <w:r>
        <w:t xml:space="preserve"> = Financial income rate, after tax = Financial income, after tax/Financial assets</w:t>
      </w:r>
    </w:p>
    <w:p w:rsidR="005E7189" w:rsidRDefault="005E7189" w:rsidP="005E7189"/>
    <w:p w:rsidR="005E7189" w:rsidRDefault="005E7189" w:rsidP="005E7189">
      <w:r>
        <w:t>We derive the following equation below:</w:t>
      </w:r>
    </w:p>
    <w:p w:rsidR="005E7189" w:rsidRDefault="005E7189" w:rsidP="005E7189"/>
    <w:tbl>
      <w:tblPr>
        <w:tblW w:w="0" w:type="auto"/>
        <w:tblLook w:val="01E0" w:firstRow="1" w:lastRow="1" w:firstColumn="1" w:lastColumn="1" w:noHBand="0" w:noVBand="0"/>
      </w:tblPr>
      <w:tblGrid>
        <w:gridCol w:w="656"/>
        <w:gridCol w:w="341"/>
        <w:gridCol w:w="742"/>
        <w:gridCol w:w="341"/>
        <w:gridCol w:w="4297"/>
        <w:gridCol w:w="803"/>
      </w:tblGrid>
      <w:tr w:rsidR="005E7189" w:rsidTr="00E72446">
        <w:trPr>
          <w:cantSplit/>
        </w:trPr>
        <w:tc>
          <w:tcPr>
            <w:tcW w:w="0" w:type="auto"/>
          </w:tcPr>
          <w:p w:rsidR="005E7189" w:rsidRDefault="005E7189" w:rsidP="00E72446">
            <w:pPr>
              <w:keepNext/>
            </w:pPr>
            <w:r>
              <w:t>ROE</w:t>
            </w:r>
          </w:p>
        </w:tc>
        <w:tc>
          <w:tcPr>
            <w:tcW w:w="0" w:type="auto"/>
          </w:tcPr>
          <w:p w:rsidR="005E7189" w:rsidRDefault="005E7189" w:rsidP="00E72446">
            <w:pPr>
              <w:keepNext/>
            </w:pPr>
            <w:r>
              <w:t>=</w:t>
            </w:r>
          </w:p>
        </w:tc>
        <w:tc>
          <w:tcPr>
            <w:tcW w:w="0" w:type="auto"/>
          </w:tcPr>
          <w:p w:rsidR="005E7189" w:rsidRDefault="005E7189" w:rsidP="00E72446">
            <w:pPr>
              <w:keepNext/>
            </w:pPr>
            <w:r>
              <w:t>ROIC</w:t>
            </w:r>
          </w:p>
        </w:tc>
        <w:tc>
          <w:tcPr>
            <w:tcW w:w="0" w:type="auto"/>
          </w:tcPr>
          <w:p w:rsidR="005E7189" w:rsidRDefault="005E7189" w:rsidP="00E72446">
            <w:pPr>
              <w:keepNext/>
            </w:pPr>
            <w:r>
              <w:t>+</w:t>
            </w:r>
          </w:p>
        </w:tc>
        <w:tc>
          <w:tcPr>
            <w:tcW w:w="0" w:type="auto"/>
          </w:tcPr>
          <w:p w:rsidR="005E7189" w:rsidRDefault="005E7189" w:rsidP="00E72446">
            <w:pPr>
              <w:keepNext/>
            </w:pPr>
            <w:r>
              <w:t>(ROIC – net financial expense rate, after tax)*</w:t>
            </w:r>
          </w:p>
        </w:tc>
        <w:tc>
          <w:tcPr>
            <w:tcW w:w="0" w:type="auto"/>
            <w:tcBorders>
              <w:bottom w:val="single" w:sz="2" w:space="0" w:color="auto"/>
            </w:tcBorders>
          </w:tcPr>
          <w:p w:rsidR="005E7189" w:rsidRDefault="005E7189" w:rsidP="00E72446">
            <w:pPr>
              <w:keepNext/>
              <w:jc w:val="center"/>
            </w:pPr>
            <w:r>
              <w:t>NFL</w:t>
            </w:r>
          </w:p>
        </w:tc>
      </w:tr>
      <w:tr w:rsidR="005E7189" w:rsidTr="00E72446">
        <w:trPr>
          <w:cantSplit/>
        </w:trPr>
        <w:tc>
          <w:tcPr>
            <w:tcW w:w="0" w:type="auto"/>
          </w:tcPr>
          <w:p w:rsidR="005E7189" w:rsidRDefault="005E7189" w:rsidP="00E72446"/>
        </w:tc>
        <w:tc>
          <w:tcPr>
            <w:tcW w:w="0" w:type="auto"/>
          </w:tcPr>
          <w:p w:rsidR="005E7189" w:rsidRDefault="005E7189" w:rsidP="00E72446"/>
        </w:tc>
        <w:tc>
          <w:tcPr>
            <w:tcW w:w="0" w:type="auto"/>
          </w:tcPr>
          <w:p w:rsidR="005E7189" w:rsidRDefault="005E7189" w:rsidP="00E72446"/>
        </w:tc>
        <w:tc>
          <w:tcPr>
            <w:tcW w:w="0" w:type="auto"/>
          </w:tcPr>
          <w:p w:rsidR="005E7189" w:rsidRDefault="005E7189" w:rsidP="00E72446"/>
        </w:tc>
        <w:tc>
          <w:tcPr>
            <w:tcW w:w="0" w:type="auto"/>
          </w:tcPr>
          <w:p w:rsidR="005E7189" w:rsidRDefault="005E7189" w:rsidP="00E72446"/>
        </w:tc>
        <w:tc>
          <w:tcPr>
            <w:tcW w:w="0" w:type="auto"/>
            <w:tcBorders>
              <w:top w:val="single" w:sz="2" w:space="0" w:color="auto"/>
            </w:tcBorders>
          </w:tcPr>
          <w:p w:rsidR="005E7189" w:rsidRDefault="005E7189" w:rsidP="00E72446">
            <w:pPr>
              <w:jc w:val="center"/>
            </w:pPr>
            <w:r>
              <w:t>Equity</w:t>
            </w:r>
          </w:p>
        </w:tc>
      </w:tr>
    </w:tbl>
    <w:p w:rsidR="005E7189" w:rsidRDefault="005E7189" w:rsidP="005E7189"/>
    <w:p w:rsidR="005E7189" w:rsidRDefault="005E7189" w:rsidP="005E7189">
      <w:r>
        <w:t>The derivation runs as follows:</w:t>
      </w:r>
    </w:p>
    <w:p w:rsidR="005E7189" w:rsidRPr="00C93C44" w:rsidRDefault="005E7189" w:rsidP="005E7189"/>
    <w:p w:rsidR="005E7189" w:rsidRDefault="005E7189" w:rsidP="005E7189">
      <w:r>
        <w:t>ROE = NI/Equity</w:t>
      </w:r>
    </w:p>
    <w:p w:rsidR="005E7189" w:rsidRDefault="005E7189" w:rsidP="005E7189"/>
    <w:p w:rsidR="005E7189" w:rsidRDefault="005E7189" w:rsidP="005E7189">
      <w:r>
        <w:t>= (</w:t>
      </w:r>
      <w:smartTag w:uri="urn:schemas-microsoft-com:office:smarttags" w:element="City">
        <w:smartTag w:uri="urn:schemas-microsoft-com:office:smarttags" w:element="place">
          <w:r>
            <w:t>Enterprise</w:t>
          </w:r>
        </w:smartTag>
      </w:smartTag>
      <w:r>
        <w:t xml:space="preserve"> profit after tax – financial expense, after tax + financial income, after tax)/Equity</w:t>
      </w:r>
    </w:p>
    <w:p w:rsidR="005E7189" w:rsidRDefault="005E7189" w:rsidP="005E7189"/>
    <w:p w:rsidR="005E7189" w:rsidRDefault="005E7189" w:rsidP="005E7189">
      <w:r>
        <w:t>= (ROIC * IC - r</w:t>
      </w:r>
      <w:r w:rsidRPr="00D70101">
        <w:rPr>
          <w:vertAlign w:val="subscript"/>
        </w:rPr>
        <w:t>d</w:t>
      </w:r>
      <w:r>
        <w:t xml:space="preserve"> * financial liabilities + r</w:t>
      </w:r>
      <w:r w:rsidRPr="00D70101">
        <w:rPr>
          <w:vertAlign w:val="subscript"/>
        </w:rPr>
        <w:t>c</w:t>
      </w:r>
      <w:r>
        <w:t xml:space="preserve"> * financial assets)/Equity</w:t>
      </w:r>
    </w:p>
    <w:p w:rsidR="005E7189" w:rsidRDefault="005E7189" w:rsidP="005E7189"/>
    <w:p w:rsidR="005E7189" w:rsidRDefault="005E7189" w:rsidP="005E7189">
      <w:r>
        <w:t>= (ROIC * (Equity + FL - FA) - r</w:t>
      </w:r>
      <w:r w:rsidRPr="00D70101">
        <w:rPr>
          <w:vertAlign w:val="subscript"/>
        </w:rPr>
        <w:t>d</w:t>
      </w:r>
      <w:r>
        <w:t xml:space="preserve"> * FL + r</w:t>
      </w:r>
      <w:r w:rsidRPr="00D70101">
        <w:rPr>
          <w:vertAlign w:val="subscript"/>
        </w:rPr>
        <w:t>c</w:t>
      </w:r>
      <w:r>
        <w:t xml:space="preserve"> * FA)/Equity</w:t>
      </w:r>
    </w:p>
    <w:p w:rsidR="005E7189" w:rsidRDefault="005E7189" w:rsidP="005E7189"/>
    <w:tbl>
      <w:tblPr>
        <w:tblW w:w="0" w:type="auto"/>
        <w:tblLook w:val="01E0" w:firstRow="1" w:lastRow="1" w:firstColumn="1" w:lastColumn="1" w:noHBand="0" w:noVBand="0"/>
      </w:tblPr>
      <w:tblGrid>
        <w:gridCol w:w="656"/>
        <w:gridCol w:w="341"/>
        <w:gridCol w:w="742"/>
        <w:gridCol w:w="341"/>
        <w:gridCol w:w="1362"/>
        <w:gridCol w:w="803"/>
        <w:gridCol w:w="290"/>
        <w:gridCol w:w="1354"/>
        <w:gridCol w:w="803"/>
      </w:tblGrid>
      <w:tr w:rsidR="005E7189" w:rsidTr="00E72446">
        <w:trPr>
          <w:cantSplit/>
        </w:trPr>
        <w:tc>
          <w:tcPr>
            <w:tcW w:w="0" w:type="auto"/>
          </w:tcPr>
          <w:p w:rsidR="005E7189" w:rsidRDefault="005E7189" w:rsidP="00E72446">
            <w:pPr>
              <w:keepNext/>
            </w:pPr>
            <w:r>
              <w:t>ROE</w:t>
            </w:r>
          </w:p>
        </w:tc>
        <w:tc>
          <w:tcPr>
            <w:tcW w:w="0" w:type="auto"/>
          </w:tcPr>
          <w:p w:rsidR="005E7189" w:rsidRDefault="005E7189" w:rsidP="00E72446">
            <w:pPr>
              <w:keepNext/>
            </w:pPr>
            <w:r>
              <w:t>=</w:t>
            </w:r>
          </w:p>
        </w:tc>
        <w:tc>
          <w:tcPr>
            <w:tcW w:w="0" w:type="auto"/>
          </w:tcPr>
          <w:p w:rsidR="005E7189" w:rsidRDefault="005E7189" w:rsidP="00E72446">
            <w:pPr>
              <w:keepNext/>
            </w:pPr>
            <w:r>
              <w:t>ROIC</w:t>
            </w:r>
          </w:p>
        </w:tc>
        <w:tc>
          <w:tcPr>
            <w:tcW w:w="0" w:type="auto"/>
          </w:tcPr>
          <w:p w:rsidR="005E7189" w:rsidRDefault="005E7189" w:rsidP="00E72446">
            <w:pPr>
              <w:keepNext/>
            </w:pPr>
            <w:r>
              <w:t>+</w:t>
            </w:r>
          </w:p>
        </w:tc>
        <w:tc>
          <w:tcPr>
            <w:tcW w:w="0" w:type="auto"/>
          </w:tcPr>
          <w:p w:rsidR="005E7189" w:rsidRDefault="005E7189" w:rsidP="00E72446">
            <w:pPr>
              <w:keepNext/>
            </w:pPr>
            <w:r>
              <w:t>(ROIC – r</w:t>
            </w:r>
            <w:r w:rsidRPr="00C93C44">
              <w:rPr>
                <w:vertAlign w:val="subscript"/>
              </w:rPr>
              <w:t>d</w:t>
            </w:r>
            <w:r>
              <w:t>)*</w:t>
            </w:r>
          </w:p>
        </w:tc>
        <w:tc>
          <w:tcPr>
            <w:tcW w:w="0" w:type="auto"/>
            <w:tcBorders>
              <w:bottom w:val="single" w:sz="2" w:space="0" w:color="auto"/>
            </w:tcBorders>
          </w:tcPr>
          <w:p w:rsidR="005E7189" w:rsidRDefault="005E7189" w:rsidP="00E72446">
            <w:pPr>
              <w:keepNext/>
              <w:jc w:val="center"/>
            </w:pPr>
            <w:r>
              <w:t>FL</w:t>
            </w:r>
          </w:p>
        </w:tc>
        <w:tc>
          <w:tcPr>
            <w:tcW w:w="0" w:type="auto"/>
          </w:tcPr>
          <w:p w:rsidR="005E7189" w:rsidRDefault="005E7189" w:rsidP="00E72446">
            <w:pPr>
              <w:keepNext/>
            </w:pPr>
            <w:r>
              <w:t>-</w:t>
            </w:r>
          </w:p>
        </w:tc>
        <w:tc>
          <w:tcPr>
            <w:tcW w:w="0" w:type="auto"/>
          </w:tcPr>
          <w:p w:rsidR="005E7189" w:rsidRDefault="005E7189" w:rsidP="00E72446">
            <w:pPr>
              <w:keepNext/>
            </w:pPr>
            <w:r>
              <w:t>(ROIC – r</w:t>
            </w:r>
            <w:r>
              <w:rPr>
                <w:vertAlign w:val="subscript"/>
              </w:rPr>
              <w:t>c</w:t>
            </w:r>
            <w:r>
              <w:t>)*</w:t>
            </w:r>
          </w:p>
        </w:tc>
        <w:tc>
          <w:tcPr>
            <w:tcW w:w="0" w:type="auto"/>
            <w:tcBorders>
              <w:bottom w:val="single" w:sz="2" w:space="0" w:color="auto"/>
            </w:tcBorders>
          </w:tcPr>
          <w:p w:rsidR="005E7189" w:rsidRDefault="005E7189" w:rsidP="00E72446">
            <w:pPr>
              <w:keepNext/>
              <w:jc w:val="center"/>
            </w:pPr>
            <w:r>
              <w:t>FA</w:t>
            </w:r>
          </w:p>
        </w:tc>
      </w:tr>
      <w:tr w:rsidR="005E7189" w:rsidTr="00E72446">
        <w:trPr>
          <w:cantSplit/>
        </w:trPr>
        <w:tc>
          <w:tcPr>
            <w:tcW w:w="0" w:type="auto"/>
          </w:tcPr>
          <w:p w:rsidR="005E7189" w:rsidRDefault="005E7189" w:rsidP="00E72446"/>
        </w:tc>
        <w:tc>
          <w:tcPr>
            <w:tcW w:w="0" w:type="auto"/>
          </w:tcPr>
          <w:p w:rsidR="005E7189" w:rsidRDefault="005E7189" w:rsidP="00E72446"/>
        </w:tc>
        <w:tc>
          <w:tcPr>
            <w:tcW w:w="0" w:type="auto"/>
          </w:tcPr>
          <w:p w:rsidR="005E7189" w:rsidRDefault="005E7189" w:rsidP="00E72446"/>
        </w:tc>
        <w:tc>
          <w:tcPr>
            <w:tcW w:w="0" w:type="auto"/>
          </w:tcPr>
          <w:p w:rsidR="005E7189" w:rsidRDefault="005E7189" w:rsidP="00E72446"/>
        </w:tc>
        <w:tc>
          <w:tcPr>
            <w:tcW w:w="0" w:type="auto"/>
          </w:tcPr>
          <w:p w:rsidR="005E7189" w:rsidRDefault="005E7189" w:rsidP="00E72446"/>
        </w:tc>
        <w:tc>
          <w:tcPr>
            <w:tcW w:w="0" w:type="auto"/>
            <w:tcBorders>
              <w:top w:val="single" w:sz="2" w:space="0" w:color="auto"/>
            </w:tcBorders>
          </w:tcPr>
          <w:p w:rsidR="005E7189" w:rsidRDefault="005E7189" w:rsidP="00E72446">
            <w:pPr>
              <w:jc w:val="center"/>
            </w:pPr>
            <w:r>
              <w:t>Equity</w:t>
            </w:r>
          </w:p>
        </w:tc>
        <w:tc>
          <w:tcPr>
            <w:tcW w:w="0" w:type="auto"/>
          </w:tcPr>
          <w:p w:rsidR="005E7189" w:rsidRDefault="005E7189" w:rsidP="00E72446"/>
        </w:tc>
        <w:tc>
          <w:tcPr>
            <w:tcW w:w="0" w:type="auto"/>
          </w:tcPr>
          <w:p w:rsidR="005E7189" w:rsidRDefault="005E7189" w:rsidP="00E72446"/>
        </w:tc>
        <w:tc>
          <w:tcPr>
            <w:tcW w:w="0" w:type="auto"/>
            <w:tcBorders>
              <w:top w:val="single" w:sz="2" w:space="0" w:color="auto"/>
            </w:tcBorders>
          </w:tcPr>
          <w:p w:rsidR="005E7189" w:rsidRDefault="005E7189" w:rsidP="00E72446">
            <w:pPr>
              <w:jc w:val="center"/>
            </w:pPr>
            <w:r>
              <w:t>Equity</w:t>
            </w:r>
          </w:p>
        </w:tc>
      </w:tr>
    </w:tbl>
    <w:p w:rsidR="005E7189" w:rsidRDefault="005E7189" w:rsidP="005E7189"/>
    <w:p w:rsidR="005E7189" w:rsidRDefault="005E7189" w:rsidP="006436CE">
      <w:pPr>
        <w:pStyle w:val="BodyText"/>
      </w:pPr>
      <w:r>
        <w:t>Netting the FA and FL yields the equation we set out to derive.</w:t>
      </w:r>
    </w:p>
    <w:p w:rsidR="005E7189" w:rsidRDefault="005E7189" w:rsidP="005E7189">
      <w:pPr>
        <w:pStyle w:val="BodyText"/>
        <w:numPr>
          <w:ilvl w:val="0"/>
          <w:numId w:val="12"/>
        </w:numPr>
      </w:pPr>
      <w:r>
        <w:t>ROE = Net income/Beginning equity</w:t>
      </w:r>
    </w:p>
    <w:p w:rsidR="005E7189" w:rsidRDefault="005E7189" w:rsidP="005E7189">
      <w:pPr>
        <w:pStyle w:val="BodyText"/>
        <w:numPr>
          <w:ilvl w:val="1"/>
          <w:numId w:val="12"/>
        </w:numPr>
      </w:pPr>
      <w:r>
        <w:t>One can use average equity instead of beginning equity in the denominator.</w:t>
      </w:r>
    </w:p>
    <w:p w:rsidR="005E7189" w:rsidRDefault="005E7189" w:rsidP="005E7189">
      <w:pPr>
        <w:pStyle w:val="BodyText"/>
        <w:numPr>
          <w:ilvl w:val="1"/>
          <w:numId w:val="12"/>
        </w:numPr>
      </w:pPr>
      <w:r>
        <w:t>ROE does not equal economic return if accounting is conservative. See discussion of ROIC above.</w:t>
      </w:r>
    </w:p>
    <w:p w:rsidR="005E7189" w:rsidRDefault="005E7189" w:rsidP="005E7189">
      <w:pPr>
        <w:pStyle w:val="BodyText"/>
        <w:numPr>
          <w:ilvl w:val="1"/>
          <w:numId w:val="12"/>
        </w:numPr>
      </w:pPr>
      <w:r>
        <w:t>ROE is also not meaningful if equity is nega</w:t>
      </w:r>
      <w:r w:rsidR="002F2852">
        <w:t>tive.</w:t>
      </w:r>
    </w:p>
    <w:p w:rsidR="005E7189" w:rsidRDefault="005E7189" w:rsidP="005E7189">
      <w:pPr>
        <w:pStyle w:val="BodyText"/>
        <w:numPr>
          <w:ilvl w:val="0"/>
          <w:numId w:val="12"/>
        </w:numPr>
      </w:pPr>
      <w:r>
        <w:t>Net financial expense rate, after tax = Net financial expense, after tax/Net financial liabilities</w:t>
      </w:r>
    </w:p>
    <w:p w:rsidR="005E7189" w:rsidRDefault="005E7189" w:rsidP="005E7189">
      <w:pPr>
        <w:pStyle w:val="BodyText"/>
        <w:numPr>
          <w:ilvl w:val="0"/>
          <w:numId w:val="12"/>
        </w:numPr>
      </w:pPr>
      <w:r>
        <w:t>Spread = ROIC – net financial expense rate, after tax</w:t>
      </w:r>
    </w:p>
    <w:p w:rsidR="005E7189" w:rsidRDefault="005E7189" w:rsidP="005E7189">
      <w:pPr>
        <w:pStyle w:val="BodyText"/>
        <w:numPr>
          <w:ilvl w:val="0"/>
          <w:numId w:val="12"/>
        </w:numPr>
      </w:pPr>
      <w:r>
        <w:t>Leverage = Beginning net financial liabilities/Beginning equity</w:t>
      </w:r>
    </w:p>
    <w:p w:rsidR="005E7189" w:rsidRDefault="005E7189" w:rsidP="005E7189">
      <w:pPr>
        <w:pStyle w:val="BodyText"/>
        <w:numPr>
          <w:ilvl w:val="0"/>
          <w:numId w:val="12"/>
        </w:numPr>
      </w:pPr>
      <w:r>
        <w:t>ROE after tax = ROIC after tax + Spread * Leverage</w:t>
      </w:r>
    </w:p>
    <w:p w:rsidR="005E7189" w:rsidRDefault="005E7189" w:rsidP="005E7189">
      <w:pPr>
        <w:pStyle w:val="BodyText"/>
        <w:numPr>
          <w:ilvl w:val="0"/>
          <w:numId w:val="12"/>
        </w:numPr>
      </w:pPr>
      <w:r>
        <w:t>Check: Actual ROE - computed ROE = 0</w:t>
      </w:r>
    </w:p>
    <w:p w:rsidR="00143A10" w:rsidRDefault="00143A10" w:rsidP="00143A10">
      <w:pPr>
        <w:pStyle w:val="BodyText"/>
      </w:pPr>
      <w:r>
        <w:t>Net financial expense rate, after tax can be negative. Consider the following example:</w:t>
      </w:r>
    </w:p>
    <w:tbl>
      <w:tblPr>
        <w:tblW w:w="0" w:type="auto"/>
        <w:tblInd w:w="619" w:type="dxa"/>
        <w:tblLook w:val="0000" w:firstRow="0" w:lastRow="0" w:firstColumn="0" w:lastColumn="0" w:noHBand="0" w:noVBand="0"/>
      </w:tblPr>
      <w:tblGrid>
        <w:gridCol w:w="2232"/>
        <w:gridCol w:w="766"/>
      </w:tblGrid>
      <w:tr w:rsidR="00143A10" w:rsidRPr="00EB35B4" w:rsidTr="00817964">
        <w:trPr>
          <w:cantSplit/>
        </w:trPr>
        <w:tc>
          <w:tcPr>
            <w:tcW w:w="0" w:type="auto"/>
            <w:tcBorders>
              <w:top w:val="single" w:sz="2" w:space="0" w:color="auto"/>
              <w:left w:val="nil"/>
              <w:bottom w:val="single" w:sz="2" w:space="0" w:color="auto"/>
              <w:right w:val="nil"/>
            </w:tcBorders>
            <w:shd w:val="clear" w:color="auto" w:fill="auto"/>
            <w:noWrap/>
            <w:vAlign w:val="bottom"/>
          </w:tcPr>
          <w:p w:rsidR="00143A10" w:rsidRPr="00EB35B4" w:rsidRDefault="00143A10" w:rsidP="00817964">
            <w:pPr>
              <w:keepNext/>
              <w:jc w:val="left"/>
            </w:pPr>
            <w:r>
              <w:t>Financial t</w:t>
            </w:r>
            <w:r w:rsidRPr="00EB35B4">
              <w:t>ax rate</w:t>
            </w:r>
          </w:p>
        </w:tc>
        <w:tc>
          <w:tcPr>
            <w:tcW w:w="0" w:type="auto"/>
            <w:tcBorders>
              <w:top w:val="single" w:sz="2" w:space="0" w:color="auto"/>
              <w:left w:val="nil"/>
              <w:bottom w:val="single" w:sz="2" w:space="0" w:color="auto"/>
              <w:right w:val="nil"/>
            </w:tcBorders>
            <w:shd w:val="clear" w:color="auto" w:fill="auto"/>
            <w:noWrap/>
            <w:vAlign w:val="bottom"/>
          </w:tcPr>
          <w:p w:rsidR="00143A10" w:rsidRPr="00EB35B4" w:rsidRDefault="00143A10" w:rsidP="00817964">
            <w:pPr>
              <w:keepNext/>
              <w:jc w:val="right"/>
            </w:pPr>
            <w:r w:rsidRPr="00EB35B4">
              <w:t>0%</w:t>
            </w:r>
          </w:p>
        </w:tc>
      </w:tr>
      <w:tr w:rsidR="00143A10" w:rsidRPr="00EB35B4" w:rsidTr="00817964">
        <w:trPr>
          <w:cantSplit/>
        </w:trPr>
        <w:tc>
          <w:tcPr>
            <w:tcW w:w="0" w:type="auto"/>
            <w:tcBorders>
              <w:top w:val="single" w:sz="2" w:space="0" w:color="auto"/>
              <w:left w:val="nil"/>
              <w:bottom w:val="nil"/>
              <w:right w:val="nil"/>
            </w:tcBorders>
            <w:shd w:val="clear" w:color="auto" w:fill="auto"/>
            <w:noWrap/>
            <w:vAlign w:val="bottom"/>
          </w:tcPr>
          <w:p w:rsidR="00143A10" w:rsidRPr="00EB35B4" w:rsidRDefault="00143A10" w:rsidP="00817964">
            <w:pPr>
              <w:keepNext/>
              <w:jc w:val="left"/>
            </w:pPr>
            <w:r w:rsidRPr="00EB35B4">
              <w:t>Financial assets</w:t>
            </w:r>
          </w:p>
        </w:tc>
        <w:tc>
          <w:tcPr>
            <w:tcW w:w="0" w:type="auto"/>
            <w:tcBorders>
              <w:top w:val="single" w:sz="2" w:space="0" w:color="auto"/>
              <w:left w:val="nil"/>
              <w:bottom w:val="nil"/>
              <w:right w:val="nil"/>
            </w:tcBorders>
            <w:shd w:val="clear" w:color="auto" w:fill="auto"/>
            <w:noWrap/>
            <w:vAlign w:val="bottom"/>
          </w:tcPr>
          <w:p w:rsidR="00143A10" w:rsidRPr="00EB35B4" w:rsidRDefault="00143A10" w:rsidP="00817964">
            <w:pPr>
              <w:keepNext/>
              <w:jc w:val="right"/>
            </w:pPr>
            <w:r w:rsidRPr="00EB35B4">
              <w:t xml:space="preserve">100 </w:t>
            </w:r>
          </w:p>
        </w:tc>
      </w:tr>
      <w:tr w:rsidR="00143A10" w:rsidRPr="00EB35B4" w:rsidTr="00817964">
        <w:trPr>
          <w:cantSplit/>
        </w:trPr>
        <w:tc>
          <w:tcPr>
            <w:tcW w:w="0" w:type="auto"/>
            <w:tcBorders>
              <w:top w:val="nil"/>
              <w:left w:val="nil"/>
              <w:bottom w:val="nil"/>
              <w:right w:val="nil"/>
            </w:tcBorders>
            <w:shd w:val="clear" w:color="auto" w:fill="auto"/>
            <w:noWrap/>
            <w:vAlign w:val="bottom"/>
          </w:tcPr>
          <w:p w:rsidR="00143A10" w:rsidRPr="00EB35B4" w:rsidRDefault="00143A10" w:rsidP="00817964">
            <w:pPr>
              <w:keepNext/>
              <w:jc w:val="left"/>
            </w:pPr>
            <w:r w:rsidRPr="00EB35B4">
              <w:t>Interest income rate</w:t>
            </w:r>
          </w:p>
        </w:tc>
        <w:tc>
          <w:tcPr>
            <w:tcW w:w="0" w:type="auto"/>
            <w:tcBorders>
              <w:top w:val="nil"/>
              <w:left w:val="nil"/>
              <w:bottom w:val="nil"/>
              <w:right w:val="nil"/>
            </w:tcBorders>
            <w:shd w:val="clear" w:color="auto" w:fill="auto"/>
            <w:noWrap/>
            <w:vAlign w:val="bottom"/>
          </w:tcPr>
          <w:p w:rsidR="00143A10" w:rsidRPr="00EB35B4" w:rsidRDefault="00143A10" w:rsidP="00817964">
            <w:pPr>
              <w:keepNext/>
              <w:jc w:val="right"/>
            </w:pPr>
            <w:r w:rsidRPr="00EB35B4">
              <w:t xml:space="preserve">2% </w:t>
            </w:r>
          </w:p>
        </w:tc>
      </w:tr>
      <w:tr w:rsidR="00143A10" w:rsidRPr="00EB35B4" w:rsidTr="00817964">
        <w:trPr>
          <w:cantSplit/>
        </w:trPr>
        <w:tc>
          <w:tcPr>
            <w:tcW w:w="0" w:type="auto"/>
            <w:tcBorders>
              <w:top w:val="nil"/>
              <w:left w:val="nil"/>
              <w:bottom w:val="single" w:sz="2" w:space="0" w:color="auto"/>
              <w:right w:val="nil"/>
            </w:tcBorders>
            <w:shd w:val="clear" w:color="auto" w:fill="auto"/>
            <w:noWrap/>
            <w:vAlign w:val="bottom"/>
          </w:tcPr>
          <w:p w:rsidR="00143A10" w:rsidRPr="00EB35B4" w:rsidRDefault="00143A10" w:rsidP="00817964">
            <w:pPr>
              <w:keepNext/>
              <w:jc w:val="left"/>
            </w:pPr>
            <w:r w:rsidRPr="00EB35B4">
              <w:t>Financial income</w:t>
            </w:r>
          </w:p>
        </w:tc>
        <w:tc>
          <w:tcPr>
            <w:tcW w:w="0" w:type="auto"/>
            <w:tcBorders>
              <w:top w:val="nil"/>
              <w:left w:val="nil"/>
              <w:bottom w:val="single" w:sz="2" w:space="0" w:color="auto"/>
              <w:right w:val="nil"/>
            </w:tcBorders>
            <w:shd w:val="clear" w:color="auto" w:fill="auto"/>
            <w:noWrap/>
            <w:vAlign w:val="bottom"/>
          </w:tcPr>
          <w:p w:rsidR="00143A10" w:rsidRPr="00EB35B4" w:rsidRDefault="00143A10" w:rsidP="00817964">
            <w:pPr>
              <w:keepNext/>
              <w:jc w:val="right"/>
            </w:pPr>
            <w:r w:rsidRPr="00EB35B4">
              <w:t xml:space="preserve">2 </w:t>
            </w:r>
          </w:p>
        </w:tc>
      </w:tr>
      <w:tr w:rsidR="00143A10" w:rsidRPr="00EB35B4" w:rsidTr="00817964">
        <w:trPr>
          <w:cantSplit/>
        </w:trPr>
        <w:tc>
          <w:tcPr>
            <w:tcW w:w="0" w:type="auto"/>
            <w:tcBorders>
              <w:top w:val="nil"/>
              <w:left w:val="nil"/>
              <w:bottom w:val="nil"/>
              <w:right w:val="nil"/>
            </w:tcBorders>
            <w:shd w:val="clear" w:color="auto" w:fill="auto"/>
            <w:noWrap/>
            <w:vAlign w:val="bottom"/>
          </w:tcPr>
          <w:p w:rsidR="00143A10" w:rsidRPr="00EB35B4" w:rsidRDefault="00143A10" w:rsidP="00817964">
            <w:pPr>
              <w:keepNext/>
              <w:jc w:val="left"/>
            </w:pPr>
            <w:r w:rsidRPr="00EB35B4">
              <w:t>Financial liabilities</w:t>
            </w:r>
          </w:p>
        </w:tc>
        <w:tc>
          <w:tcPr>
            <w:tcW w:w="0" w:type="auto"/>
            <w:tcBorders>
              <w:top w:val="nil"/>
              <w:left w:val="nil"/>
              <w:bottom w:val="nil"/>
              <w:right w:val="nil"/>
            </w:tcBorders>
            <w:shd w:val="clear" w:color="auto" w:fill="auto"/>
            <w:noWrap/>
            <w:vAlign w:val="bottom"/>
          </w:tcPr>
          <w:p w:rsidR="00143A10" w:rsidRPr="00EB35B4" w:rsidRDefault="00143A10" w:rsidP="00817964">
            <w:pPr>
              <w:keepNext/>
              <w:jc w:val="right"/>
            </w:pPr>
            <w:r w:rsidRPr="00EB35B4">
              <w:t xml:space="preserve">80 </w:t>
            </w:r>
          </w:p>
        </w:tc>
      </w:tr>
      <w:tr w:rsidR="00143A10" w:rsidRPr="00EB35B4" w:rsidTr="00817964">
        <w:trPr>
          <w:cantSplit/>
        </w:trPr>
        <w:tc>
          <w:tcPr>
            <w:tcW w:w="0" w:type="auto"/>
            <w:tcBorders>
              <w:top w:val="nil"/>
              <w:left w:val="nil"/>
              <w:bottom w:val="nil"/>
              <w:right w:val="nil"/>
            </w:tcBorders>
            <w:shd w:val="clear" w:color="auto" w:fill="auto"/>
            <w:noWrap/>
            <w:vAlign w:val="bottom"/>
          </w:tcPr>
          <w:p w:rsidR="00143A10" w:rsidRPr="00EB35B4" w:rsidRDefault="00143A10" w:rsidP="00817964">
            <w:pPr>
              <w:keepNext/>
              <w:jc w:val="left"/>
            </w:pPr>
            <w:r>
              <w:t>Financial expense</w:t>
            </w:r>
            <w:r w:rsidRPr="00EB35B4">
              <w:t xml:space="preserve"> rate</w:t>
            </w:r>
          </w:p>
        </w:tc>
        <w:tc>
          <w:tcPr>
            <w:tcW w:w="0" w:type="auto"/>
            <w:tcBorders>
              <w:top w:val="nil"/>
              <w:left w:val="nil"/>
              <w:bottom w:val="nil"/>
              <w:right w:val="nil"/>
            </w:tcBorders>
            <w:shd w:val="clear" w:color="auto" w:fill="auto"/>
            <w:noWrap/>
            <w:vAlign w:val="bottom"/>
          </w:tcPr>
          <w:p w:rsidR="00143A10" w:rsidRPr="00EB35B4" w:rsidRDefault="00143A10" w:rsidP="00817964">
            <w:pPr>
              <w:keepNext/>
              <w:jc w:val="right"/>
            </w:pPr>
            <w:r w:rsidRPr="00EB35B4">
              <w:t xml:space="preserve">10% </w:t>
            </w:r>
          </w:p>
        </w:tc>
      </w:tr>
      <w:tr w:rsidR="00143A10" w:rsidRPr="00EB35B4" w:rsidTr="00817964">
        <w:trPr>
          <w:cantSplit/>
        </w:trPr>
        <w:tc>
          <w:tcPr>
            <w:tcW w:w="0" w:type="auto"/>
            <w:tcBorders>
              <w:top w:val="nil"/>
              <w:left w:val="nil"/>
              <w:bottom w:val="single" w:sz="2" w:space="0" w:color="auto"/>
              <w:right w:val="nil"/>
            </w:tcBorders>
            <w:shd w:val="clear" w:color="auto" w:fill="auto"/>
            <w:noWrap/>
            <w:vAlign w:val="bottom"/>
          </w:tcPr>
          <w:p w:rsidR="00143A10" w:rsidRPr="00EB35B4" w:rsidRDefault="00143A10" w:rsidP="00817964">
            <w:pPr>
              <w:keepNext/>
              <w:jc w:val="left"/>
            </w:pPr>
            <w:r w:rsidRPr="00EB35B4">
              <w:t>Financial expense</w:t>
            </w:r>
          </w:p>
        </w:tc>
        <w:tc>
          <w:tcPr>
            <w:tcW w:w="0" w:type="auto"/>
            <w:tcBorders>
              <w:top w:val="nil"/>
              <w:left w:val="nil"/>
              <w:bottom w:val="single" w:sz="2" w:space="0" w:color="auto"/>
              <w:right w:val="nil"/>
            </w:tcBorders>
            <w:shd w:val="clear" w:color="auto" w:fill="auto"/>
            <w:noWrap/>
            <w:vAlign w:val="bottom"/>
          </w:tcPr>
          <w:p w:rsidR="00143A10" w:rsidRPr="00EB35B4" w:rsidRDefault="00143A10" w:rsidP="00817964">
            <w:pPr>
              <w:keepNext/>
              <w:jc w:val="right"/>
            </w:pPr>
            <w:r w:rsidRPr="00EB35B4">
              <w:t xml:space="preserve">8 </w:t>
            </w:r>
          </w:p>
        </w:tc>
      </w:tr>
      <w:tr w:rsidR="00143A10" w:rsidRPr="00EB35B4" w:rsidTr="00817964">
        <w:trPr>
          <w:cantSplit/>
        </w:trPr>
        <w:tc>
          <w:tcPr>
            <w:tcW w:w="0" w:type="auto"/>
            <w:tcBorders>
              <w:top w:val="nil"/>
              <w:left w:val="nil"/>
              <w:bottom w:val="nil"/>
              <w:right w:val="nil"/>
            </w:tcBorders>
            <w:shd w:val="clear" w:color="auto" w:fill="auto"/>
            <w:noWrap/>
            <w:vAlign w:val="bottom"/>
          </w:tcPr>
          <w:p w:rsidR="00143A10" w:rsidRPr="00EB35B4" w:rsidRDefault="00143A10" w:rsidP="00817964">
            <w:pPr>
              <w:keepNext/>
              <w:jc w:val="left"/>
            </w:pPr>
            <w:r w:rsidRPr="00EB35B4">
              <w:t>Net financial expense</w:t>
            </w:r>
          </w:p>
        </w:tc>
        <w:tc>
          <w:tcPr>
            <w:tcW w:w="0" w:type="auto"/>
            <w:tcBorders>
              <w:top w:val="nil"/>
              <w:left w:val="nil"/>
              <w:bottom w:val="nil"/>
              <w:right w:val="nil"/>
            </w:tcBorders>
            <w:shd w:val="clear" w:color="auto" w:fill="auto"/>
            <w:noWrap/>
            <w:vAlign w:val="bottom"/>
          </w:tcPr>
          <w:p w:rsidR="00143A10" w:rsidRPr="00EB35B4" w:rsidRDefault="00143A10" w:rsidP="00817964">
            <w:pPr>
              <w:keepNext/>
              <w:jc w:val="right"/>
            </w:pPr>
            <w:r w:rsidRPr="00EB35B4">
              <w:t xml:space="preserve">6 </w:t>
            </w:r>
          </w:p>
        </w:tc>
      </w:tr>
      <w:tr w:rsidR="00143A10" w:rsidRPr="00EB35B4" w:rsidTr="00817964">
        <w:trPr>
          <w:cantSplit/>
        </w:trPr>
        <w:tc>
          <w:tcPr>
            <w:tcW w:w="0" w:type="auto"/>
            <w:tcBorders>
              <w:top w:val="nil"/>
              <w:left w:val="nil"/>
              <w:bottom w:val="single" w:sz="2" w:space="0" w:color="auto"/>
              <w:right w:val="nil"/>
            </w:tcBorders>
            <w:shd w:val="clear" w:color="auto" w:fill="auto"/>
            <w:noWrap/>
            <w:vAlign w:val="bottom"/>
          </w:tcPr>
          <w:p w:rsidR="00143A10" w:rsidRPr="00EB35B4" w:rsidRDefault="00143A10" w:rsidP="00817964">
            <w:pPr>
              <w:keepNext/>
              <w:jc w:val="left"/>
            </w:pPr>
            <w:r w:rsidRPr="00EB35B4">
              <w:t>Net financial liabilities</w:t>
            </w:r>
          </w:p>
        </w:tc>
        <w:tc>
          <w:tcPr>
            <w:tcW w:w="0" w:type="auto"/>
            <w:tcBorders>
              <w:top w:val="nil"/>
              <w:left w:val="nil"/>
              <w:bottom w:val="single" w:sz="2" w:space="0" w:color="auto"/>
              <w:right w:val="nil"/>
            </w:tcBorders>
            <w:shd w:val="clear" w:color="auto" w:fill="auto"/>
            <w:noWrap/>
            <w:vAlign w:val="bottom"/>
          </w:tcPr>
          <w:p w:rsidR="00143A10" w:rsidRPr="00EB35B4" w:rsidRDefault="00143A10" w:rsidP="00817964">
            <w:pPr>
              <w:keepNext/>
              <w:jc w:val="right"/>
            </w:pPr>
            <w:r w:rsidRPr="00EB35B4">
              <w:t>(20)</w:t>
            </w:r>
          </w:p>
        </w:tc>
      </w:tr>
      <w:tr w:rsidR="00143A10" w:rsidRPr="00EB35B4" w:rsidTr="00817964">
        <w:trPr>
          <w:cantSplit/>
        </w:trPr>
        <w:tc>
          <w:tcPr>
            <w:tcW w:w="0" w:type="auto"/>
            <w:tcBorders>
              <w:top w:val="nil"/>
              <w:left w:val="nil"/>
              <w:bottom w:val="single" w:sz="2" w:space="0" w:color="auto"/>
              <w:right w:val="nil"/>
            </w:tcBorders>
            <w:shd w:val="clear" w:color="auto" w:fill="auto"/>
            <w:noWrap/>
            <w:vAlign w:val="bottom"/>
          </w:tcPr>
          <w:p w:rsidR="00143A10" w:rsidRPr="00EB35B4" w:rsidRDefault="00143A10" w:rsidP="00817964">
            <w:pPr>
              <w:jc w:val="left"/>
            </w:pPr>
            <w:r w:rsidRPr="00EB35B4">
              <w:t>Net interest rate</w:t>
            </w:r>
          </w:p>
        </w:tc>
        <w:tc>
          <w:tcPr>
            <w:tcW w:w="0" w:type="auto"/>
            <w:tcBorders>
              <w:top w:val="nil"/>
              <w:left w:val="nil"/>
              <w:bottom w:val="single" w:sz="2" w:space="0" w:color="auto"/>
              <w:right w:val="nil"/>
            </w:tcBorders>
            <w:shd w:val="clear" w:color="auto" w:fill="auto"/>
            <w:noWrap/>
            <w:vAlign w:val="bottom"/>
          </w:tcPr>
          <w:p w:rsidR="00143A10" w:rsidRPr="00EB35B4" w:rsidRDefault="00143A10" w:rsidP="00817964">
            <w:pPr>
              <w:jc w:val="right"/>
            </w:pPr>
            <w:r w:rsidRPr="00EB35B4">
              <w:t>(30%)</w:t>
            </w:r>
          </w:p>
        </w:tc>
      </w:tr>
    </w:tbl>
    <w:p w:rsidR="00143A10" w:rsidRDefault="00143A10" w:rsidP="00143A10"/>
    <w:p w:rsidR="005E7189" w:rsidRDefault="00143A10" w:rsidP="00143A10">
      <w:pPr>
        <w:pStyle w:val="BodyText"/>
      </w:pPr>
      <w:r>
        <w:t>Negative net interest rates are not meaningful. In such a case, one must separate financial liabilities and financial assets as shown next.</w:t>
      </w:r>
    </w:p>
    <w:p w:rsidR="005E7189" w:rsidRDefault="005E7189" w:rsidP="005E7189">
      <w:pPr>
        <w:pStyle w:val="BodyText"/>
        <w:numPr>
          <w:ilvl w:val="0"/>
          <w:numId w:val="12"/>
        </w:numPr>
      </w:pPr>
      <w:r w:rsidRPr="00ED0EB9">
        <w:t>Financial expense rate [r</w:t>
      </w:r>
      <w:r w:rsidRPr="00143A10">
        <w:rPr>
          <w:vertAlign w:val="subscript"/>
        </w:rPr>
        <w:t>d</w:t>
      </w:r>
      <w:r w:rsidRPr="00ED0EB9">
        <w:t>] = Financial expense, after tax/Financial liabilities</w:t>
      </w:r>
    </w:p>
    <w:p w:rsidR="005E7189" w:rsidRDefault="005E7189" w:rsidP="005E7189">
      <w:pPr>
        <w:pStyle w:val="BodyText"/>
        <w:numPr>
          <w:ilvl w:val="0"/>
          <w:numId w:val="12"/>
        </w:numPr>
      </w:pPr>
      <w:r>
        <w:t>Financial liabilities/Equity [FL/EQ]</w:t>
      </w:r>
    </w:p>
    <w:p w:rsidR="005E7189" w:rsidRDefault="00054087" w:rsidP="005E7189">
      <w:pPr>
        <w:pStyle w:val="BodyText"/>
        <w:numPr>
          <w:ilvl w:val="0"/>
          <w:numId w:val="12"/>
        </w:numPr>
      </w:pPr>
      <w:r>
        <w:t xml:space="preserve">Effect of financial liabilities on ROE: </w:t>
      </w:r>
      <w:r w:rsidR="005E7189">
        <w:t>(ROIC - r</w:t>
      </w:r>
      <w:r w:rsidR="005E7189" w:rsidRPr="00D215CC">
        <w:rPr>
          <w:vertAlign w:val="subscript"/>
        </w:rPr>
        <w:t>d</w:t>
      </w:r>
      <w:r w:rsidR="00656232">
        <w:t>)*FL/EQ</w:t>
      </w:r>
      <w:r>
        <w:t>.</w:t>
      </w:r>
    </w:p>
    <w:p w:rsidR="00384E84" w:rsidRDefault="00656232" w:rsidP="008F7366">
      <w:pPr>
        <w:pStyle w:val="BodyText"/>
        <w:numPr>
          <w:ilvl w:val="1"/>
          <w:numId w:val="12"/>
        </w:numPr>
      </w:pPr>
      <w:r>
        <w:t>ROE &gt; ROIC if ROIC &gt; r</w:t>
      </w:r>
      <w:r w:rsidRPr="00656232">
        <w:rPr>
          <w:vertAlign w:val="subscript"/>
        </w:rPr>
        <w:t>d</w:t>
      </w:r>
      <w:r>
        <w:t>, and vice versa.</w:t>
      </w:r>
      <w:r w:rsidR="00C4545B">
        <w:t xml:space="preserve"> </w:t>
      </w:r>
    </w:p>
    <w:p w:rsidR="005E7189" w:rsidRDefault="005E7189" w:rsidP="005E7189">
      <w:pPr>
        <w:pStyle w:val="BodyText"/>
        <w:numPr>
          <w:ilvl w:val="0"/>
          <w:numId w:val="12"/>
        </w:numPr>
      </w:pPr>
      <w:r>
        <w:t>Financial income rate [r</w:t>
      </w:r>
      <w:r w:rsidRPr="00143A10">
        <w:rPr>
          <w:vertAlign w:val="subscript"/>
        </w:rPr>
        <w:t>c</w:t>
      </w:r>
      <w:r>
        <w:t>] = Financial income, after tax/Financial assets</w:t>
      </w:r>
    </w:p>
    <w:p w:rsidR="005E7189" w:rsidRDefault="005E7189" w:rsidP="005E7189">
      <w:pPr>
        <w:pStyle w:val="BodyText"/>
        <w:numPr>
          <w:ilvl w:val="0"/>
          <w:numId w:val="12"/>
        </w:numPr>
      </w:pPr>
      <w:r>
        <w:t>Financial assets/Equity [FA/EQ]</w:t>
      </w:r>
    </w:p>
    <w:p w:rsidR="005E7189" w:rsidRDefault="00EA6D9C" w:rsidP="005E7189">
      <w:pPr>
        <w:pStyle w:val="BodyText"/>
        <w:numPr>
          <w:ilvl w:val="0"/>
          <w:numId w:val="12"/>
        </w:numPr>
      </w:pPr>
      <w:r>
        <w:t xml:space="preserve">Effect of financial assets on ROE: </w:t>
      </w:r>
      <w:r w:rsidR="005E7189">
        <w:t>-(ROIC - r</w:t>
      </w:r>
      <w:r w:rsidR="005E7189" w:rsidRPr="00143A10">
        <w:rPr>
          <w:vertAlign w:val="subscript"/>
        </w:rPr>
        <w:t>c</w:t>
      </w:r>
      <w:r>
        <w:t>)*FA/EQ</w:t>
      </w:r>
    </w:p>
    <w:p w:rsidR="00EA6D9C" w:rsidRDefault="00EA6D9C" w:rsidP="00EA6D9C">
      <w:pPr>
        <w:pStyle w:val="BodyText"/>
        <w:numPr>
          <w:ilvl w:val="1"/>
          <w:numId w:val="12"/>
        </w:numPr>
      </w:pPr>
      <w:r>
        <w:t>ROE &lt; ROIC if ROIC &gt; r</w:t>
      </w:r>
      <w:r w:rsidRPr="00EA6D9C">
        <w:rPr>
          <w:vertAlign w:val="subscript"/>
        </w:rPr>
        <w:t>c</w:t>
      </w:r>
      <w:r>
        <w:t>, and vice versa.</w:t>
      </w:r>
    </w:p>
    <w:p w:rsidR="005E7189" w:rsidRDefault="005E7189" w:rsidP="005E7189">
      <w:pPr>
        <w:pStyle w:val="BodyText"/>
        <w:numPr>
          <w:ilvl w:val="0"/>
          <w:numId w:val="12"/>
        </w:numPr>
      </w:pPr>
      <w:r>
        <w:t>ROE = ROIC +  (ROIC - r</w:t>
      </w:r>
      <w:r w:rsidRPr="00ED0EB9">
        <w:rPr>
          <w:vertAlign w:val="subscript"/>
        </w:rPr>
        <w:t>d</w:t>
      </w:r>
      <w:r>
        <w:t>)*FL/EQ -(ROIC - r</w:t>
      </w:r>
      <w:r w:rsidRPr="00ED0EB9">
        <w:rPr>
          <w:vertAlign w:val="subscript"/>
        </w:rPr>
        <w:t>c</w:t>
      </w:r>
      <w:r>
        <w:t>)*FA/EQ</w:t>
      </w:r>
    </w:p>
    <w:p w:rsidR="00BE59FB" w:rsidRDefault="00BE59FB" w:rsidP="00BE59FB">
      <w:pPr>
        <w:pStyle w:val="Heading3"/>
      </w:pPr>
      <w:r>
        <w:t xml:space="preserve">Bias in ROIC due to conservatism </w:t>
      </w:r>
    </w:p>
    <w:p w:rsidR="006860C8" w:rsidRDefault="00BE59FB" w:rsidP="004425DA">
      <w:pPr>
        <w:pStyle w:val="BodyText"/>
      </w:pPr>
      <w:r>
        <w:t xml:space="preserve">Both the denominator and the numerator of ROIC are affected by conservatism. The denominator is always biased downwards by conservatism. For example, companies omit </w:t>
      </w:r>
      <w:r w:rsidRPr="002254B7">
        <w:t xml:space="preserve">R&amp;D assets and </w:t>
      </w:r>
      <w:r>
        <w:t xml:space="preserve">book value of </w:t>
      </w:r>
      <w:r w:rsidRPr="002254B7">
        <w:t xml:space="preserve">PPE is </w:t>
      </w:r>
      <w:r>
        <w:t xml:space="preserve">below </w:t>
      </w:r>
      <w:r w:rsidR="00726E82">
        <w:t xml:space="preserve">its </w:t>
      </w:r>
      <w:r>
        <w:t xml:space="preserve">market value. </w:t>
      </w:r>
      <w:r w:rsidR="00726E82">
        <w:t xml:space="preserve">The </w:t>
      </w:r>
      <w:r>
        <w:t xml:space="preserve">numerator, </w:t>
      </w:r>
      <w:r w:rsidR="00726E82">
        <w:t xml:space="preserve">EPAT, is biased downwards by conservatism if NEA is growing, and vice versa. </w:t>
      </w:r>
      <w:r w:rsidR="00366394">
        <w:t xml:space="preserve">The overall bias in ROIC depends on the </w:t>
      </w:r>
      <w:r>
        <w:t>sign of enterprise cash flows (ECF)</w:t>
      </w:r>
      <w:r w:rsidR="006860C8">
        <w:t xml:space="preserve">. </w:t>
      </w:r>
    </w:p>
    <w:tbl>
      <w:tblPr>
        <w:tblW w:w="0" w:type="auto"/>
        <w:tblInd w:w="115" w:type="dxa"/>
        <w:shd w:val="clear" w:color="auto" w:fill="CCECFF"/>
        <w:tblLook w:val="01E0" w:firstRow="1" w:lastRow="1" w:firstColumn="1" w:lastColumn="1" w:noHBand="0" w:noVBand="0"/>
      </w:tblPr>
      <w:tblGrid>
        <w:gridCol w:w="9356"/>
      </w:tblGrid>
      <w:tr w:rsidR="006860C8" w:rsidTr="00BE4BA4">
        <w:trPr>
          <w:cantSplit/>
          <w:trHeight w:val="253"/>
        </w:trPr>
        <w:tc>
          <w:tcPr>
            <w:tcW w:w="0" w:type="auto"/>
            <w:vMerge w:val="restart"/>
            <w:shd w:val="clear" w:color="auto" w:fill="CCECFF"/>
            <w:vAlign w:val="center"/>
          </w:tcPr>
          <w:p w:rsidR="006860C8" w:rsidRPr="006860C8" w:rsidRDefault="00E32A67" w:rsidP="00A075D3">
            <w:pPr>
              <w:keepNext/>
              <w:rPr>
                <w:rStyle w:val="Emphasize"/>
              </w:rPr>
            </w:pPr>
            <w:r w:rsidRPr="00E32A67">
              <w:rPr>
                <w:rStyle w:val="Emphasize"/>
              </w:rPr>
              <w:t>Conservatism in NEA biases ROIC upwards if ECF is positive</w:t>
            </w:r>
            <w:r>
              <w:rPr>
                <w:rStyle w:val="Emphasize"/>
              </w:rPr>
              <w:t xml:space="preserve"> and downwards if ECF is negative.</w:t>
            </w:r>
          </w:p>
        </w:tc>
      </w:tr>
      <w:tr w:rsidR="006860C8" w:rsidTr="00BE4BA4">
        <w:trPr>
          <w:cantSplit/>
          <w:trHeight w:val="253"/>
        </w:trPr>
        <w:tc>
          <w:tcPr>
            <w:tcW w:w="0" w:type="auto"/>
            <w:vMerge/>
            <w:shd w:val="clear" w:color="auto" w:fill="CCECFF"/>
          </w:tcPr>
          <w:p w:rsidR="006860C8" w:rsidRDefault="006860C8" w:rsidP="00BE4BA4">
            <w:pPr>
              <w:keepNext/>
              <w:jc w:val="center"/>
            </w:pPr>
          </w:p>
        </w:tc>
      </w:tr>
    </w:tbl>
    <w:p w:rsidR="00E15BF7" w:rsidRDefault="006860C8" w:rsidP="004425DA">
      <w:pPr>
        <w:pStyle w:val="BodyText"/>
      </w:pPr>
      <w:r>
        <w:t>This is</w:t>
      </w:r>
      <w:r w:rsidR="00BE59FB">
        <w:t xml:space="preserve"> shown below.</w:t>
      </w:r>
      <w:r w:rsidR="00E32A67">
        <w:t xml:space="preserve"> We start with the bias in EPAT, the numerator of ROIC, and then discuss the outcome when one divides </w:t>
      </w:r>
      <w:r w:rsidR="00A075D3">
        <w:t xml:space="preserve">EPAT </w:t>
      </w:r>
      <w:r w:rsidR="00E32A67">
        <w:t xml:space="preserve">by the downwardly biased </w:t>
      </w:r>
      <w:r w:rsidR="00A075D3">
        <w:t>NEA</w:t>
      </w:r>
      <w:r w:rsidR="00E32A67">
        <w:t>.</w:t>
      </w:r>
    </w:p>
    <w:p w:rsidR="00BE59FB" w:rsidRDefault="00BE59FB" w:rsidP="000B332D">
      <w:pPr>
        <w:pStyle w:val="BodyText"/>
      </w:pPr>
      <w:r>
        <w:t>EPAT = ECF + Change in NEA</w:t>
      </w:r>
      <w:r w:rsidR="000B332D">
        <w:t xml:space="preserve"> = ECF + growth rate in NEA * Beginning NEA</w:t>
      </w:r>
    </w:p>
    <w:p w:rsidR="000B332D" w:rsidRDefault="000B332D" w:rsidP="000B332D">
      <w:pPr>
        <w:pStyle w:val="BodyText"/>
      </w:pPr>
      <w:r>
        <w:t>ECF is unaffected by conservatism. NEA is lowered by conservatism. However, on average, the growth rate in NEA is unaffected by conservatism.</w:t>
      </w:r>
      <w:r w:rsidR="00A075D3">
        <w:t xml:space="preserve"> Therefore, </w:t>
      </w:r>
      <w:r>
        <w:t>the higher the growth rate in NEA, the</w:t>
      </w:r>
      <w:r w:rsidR="00E3755D">
        <w:t xml:space="preserve"> </w:t>
      </w:r>
      <w:r w:rsidR="00A075D3">
        <w:t>bigger is</w:t>
      </w:r>
      <w:r w:rsidR="00726E82">
        <w:t xml:space="preserve"> the </w:t>
      </w:r>
      <w:r w:rsidR="00E3755D">
        <w:t xml:space="preserve">impact of understated NEA on </w:t>
      </w:r>
      <w:r w:rsidR="00726E82">
        <w:t>EPAT</w:t>
      </w:r>
      <w:r w:rsidR="00E32A67">
        <w:t xml:space="preserve">. </w:t>
      </w:r>
    </w:p>
    <w:p w:rsidR="00BE59FB" w:rsidRDefault="00BE59FB" w:rsidP="000B332D">
      <w:pPr>
        <w:pStyle w:val="BodyText"/>
      </w:pPr>
      <w:r>
        <w:t xml:space="preserve">Dividing both sides by </w:t>
      </w:r>
      <w:r w:rsidR="00726E82">
        <w:t xml:space="preserve">the </w:t>
      </w:r>
      <w:r>
        <w:t>beginning NEA yields the following:</w:t>
      </w:r>
    </w:p>
    <w:p w:rsidR="00BE59FB" w:rsidRDefault="000B332D" w:rsidP="000B332D">
      <w:pPr>
        <w:pStyle w:val="BodyText"/>
      </w:pPr>
      <w:r>
        <w:t xml:space="preserve">ROIC = </w:t>
      </w:r>
      <w:r w:rsidR="00BE59FB">
        <w:t xml:space="preserve">EPAT/NEA = ECF/NEA + </w:t>
      </w:r>
      <w:r>
        <w:t>g</w:t>
      </w:r>
      <w:r w:rsidR="00BE59FB">
        <w:t>rowth rate in NEA.</w:t>
      </w:r>
    </w:p>
    <w:p w:rsidR="00726E82" w:rsidRPr="002F12E2" w:rsidRDefault="003D0E8C" w:rsidP="000127E3">
      <w:pPr>
        <w:pStyle w:val="BodyText"/>
      </w:pPr>
      <w:r>
        <w:t>Since the growth rate in NEA is not affected by conservatism,</w:t>
      </w:r>
      <w:r w:rsidR="00BE59FB">
        <w:t xml:space="preserve"> the </w:t>
      </w:r>
      <w:r>
        <w:t>effect of biased NEA on</w:t>
      </w:r>
      <w:r w:rsidR="00BE59FB">
        <w:t xml:space="preserve"> ROIC depends on </w:t>
      </w:r>
      <w:r w:rsidR="00BE59FB" w:rsidRPr="002F12E2">
        <w:t xml:space="preserve">the sign of ECF. </w:t>
      </w:r>
    </w:p>
    <w:p w:rsidR="00092838" w:rsidRPr="002F12E2" w:rsidRDefault="00092838" w:rsidP="002F12E2">
      <w:pPr>
        <w:pStyle w:val="BodyText"/>
      </w:pPr>
      <w:r w:rsidRPr="002F12E2">
        <w:t xml:space="preserve">The primary determinants of ECF are growth and the </w:t>
      </w:r>
      <w:r w:rsidR="00297D70" w:rsidRPr="002F12E2">
        <w:t xml:space="preserve">internal rate of return on the firm’s investments. High growth firms generally have negative ECF. However, some high growth firms </w:t>
      </w:r>
      <w:r w:rsidR="006F5843" w:rsidRPr="002F12E2">
        <w:t>also have high IRRs, which make</w:t>
      </w:r>
      <w:r w:rsidR="00297D70" w:rsidRPr="002F12E2">
        <w:t xml:space="preserve"> their ECF positive.</w:t>
      </w:r>
    </w:p>
    <w:p w:rsidR="002F12E2" w:rsidRPr="002F12E2" w:rsidRDefault="002F12E2" w:rsidP="00297D70">
      <w:r w:rsidRPr="002F12E2">
        <w:t>Given the importance of ECF, one can th</w:t>
      </w:r>
      <w:r>
        <w:t>ink of ECF/Enterprise Value as </w:t>
      </w:r>
      <w:r w:rsidRPr="002F12E2">
        <w:t>a "buy/sell" indicator; that is, ECF should be "bought as cheaply as possible." The analysis here suggests a caution: one needs to control for growth in NEA, or sales, or some combination thereof. Growth has an adverse effect on ECF, yet firms invest in growth when they have attractive investment opportunities.</w:t>
      </w:r>
    </w:p>
    <w:p w:rsidR="00BE59FB" w:rsidRDefault="0041143C" w:rsidP="00E15BF7">
      <w:pPr>
        <w:pStyle w:val="Heading3"/>
      </w:pPr>
      <w:r>
        <w:t>Debiasing ROIC</w:t>
      </w:r>
      <w:r w:rsidR="000B332D">
        <w:t>: Market-based ROIC (M</w:t>
      </w:r>
      <w:r w:rsidR="00285095">
        <w:t>ROIC)</w:t>
      </w:r>
    </w:p>
    <w:p w:rsidR="00BE59FB" w:rsidRDefault="00BE59FB" w:rsidP="00E15BF7">
      <w:pPr>
        <w:pStyle w:val="BodyText"/>
      </w:pPr>
      <w:r w:rsidRPr="000D714F">
        <w:t xml:space="preserve">To </w:t>
      </w:r>
      <w:r>
        <w:t xml:space="preserve">scrub the effect of </w:t>
      </w:r>
      <w:r w:rsidRPr="000D714F">
        <w:t xml:space="preserve">conservative accounting, one can replace the NEA </w:t>
      </w:r>
      <w:r>
        <w:t xml:space="preserve">in the </w:t>
      </w:r>
      <w:r w:rsidRPr="000D714F">
        <w:t xml:space="preserve">denominator </w:t>
      </w:r>
      <w:r>
        <w:t xml:space="preserve">of </w:t>
      </w:r>
      <w:r w:rsidRPr="000D714F">
        <w:t>ECF/NEA with enterprise value</w:t>
      </w:r>
      <w:r>
        <w:t>. Enterprise value equals m</w:t>
      </w:r>
      <w:r w:rsidRPr="000D714F">
        <w:t>arket</w:t>
      </w:r>
      <w:r>
        <w:t xml:space="preserve"> value of equity plus market value of net financial liabilities.</w:t>
      </w:r>
      <w:r w:rsidR="00E15BF7">
        <w:t xml:space="preserve"> We call our new measure </w:t>
      </w:r>
      <w:r w:rsidR="000B332D">
        <w:t>market-based</w:t>
      </w:r>
      <w:r w:rsidR="00E15BF7">
        <w:t xml:space="preserve"> ROIC as defined below:</w:t>
      </w:r>
    </w:p>
    <w:p w:rsidR="00E15BF7" w:rsidRDefault="00E15BF7" w:rsidP="00E15BF7">
      <w:pPr>
        <w:pStyle w:val="6pointSpacer"/>
      </w:pPr>
    </w:p>
    <w:tbl>
      <w:tblPr>
        <w:tblW w:w="0" w:type="auto"/>
        <w:tblInd w:w="115" w:type="dxa"/>
        <w:shd w:val="clear" w:color="auto" w:fill="CCECFF"/>
        <w:tblLook w:val="01E0" w:firstRow="1" w:lastRow="1" w:firstColumn="1" w:lastColumn="1" w:noHBand="0" w:noVBand="0"/>
      </w:tblPr>
      <w:tblGrid>
        <w:gridCol w:w="2186"/>
        <w:gridCol w:w="1652"/>
        <w:gridCol w:w="345"/>
        <w:gridCol w:w="2007"/>
      </w:tblGrid>
      <w:tr w:rsidR="00E15BF7" w:rsidTr="00140770">
        <w:trPr>
          <w:cantSplit/>
        </w:trPr>
        <w:tc>
          <w:tcPr>
            <w:tcW w:w="0" w:type="auto"/>
            <w:vMerge w:val="restart"/>
            <w:shd w:val="clear" w:color="auto" w:fill="CCECFF"/>
            <w:vAlign w:val="center"/>
          </w:tcPr>
          <w:p w:rsidR="00E15BF7" w:rsidRPr="00FE337A" w:rsidRDefault="000B332D" w:rsidP="00E660A6">
            <w:pPr>
              <w:keepNext/>
              <w:jc w:val="center"/>
            </w:pPr>
            <w:r>
              <w:t>Market-based</w:t>
            </w:r>
            <w:r w:rsidR="0041143C">
              <w:t xml:space="preserve"> </w:t>
            </w:r>
            <w:r w:rsidR="00E15BF7">
              <w:t>ROIC =</w:t>
            </w:r>
          </w:p>
        </w:tc>
        <w:tc>
          <w:tcPr>
            <w:tcW w:w="0" w:type="auto"/>
            <w:tcBorders>
              <w:bottom w:val="single" w:sz="4" w:space="0" w:color="auto"/>
            </w:tcBorders>
            <w:shd w:val="clear" w:color="auto" w:fill="CCECFF"/>
          </w:tcPr>
          <w:p w:rsidR="00E15BF7" w:rsidRDefault="00E15BF7" w:rsidP="00E660A6">
            <w:pPr>
              <w:keepNext/>
              <w:jc w:val="center"/>
            </w:pPr>
            <w:r>
              <w:t>ECF</w:t>
            </w:r>
          </w:p>
        </w:tc>
        <w:tc>
          <w:tcPr>
            <w:tcW w:w="0" w:type="auto"/>
            <w:vMerge w:val="restart"/>
            <w:shd w:val="clear" w:color="auto" w:fill="CCECFF"/>
            <w:vAlign w:val="center"/>
          </w:tcPr>
          <w:p w:rsidR="00E15BF7" w:rsidRPr="00836974" w:rsidRDefault="00E15BF7" w:rsidP="00E660A6">
            <w:pPr>
              <w:keepNext/>
              <w:jc w:val="center"/>
              <w:rPr>
                <w:rFonts w:ascii="Arial" w:hAnsi="Arial" w:cs="Arial"/>
              </w:rPr>
            </w:pPr>
            <w:r>
              <w:rPr>
                <w:rFonts w:ascii="Arial" w:hAnsi="Arial" w:cs="Arial"/>
              </w:rPr>
              <w:t>+</w:t>
            </w:r>
          </w:p>
        </w:tc>
        <w:tc>
          <w:tcPr>
            <w:tcW w:w="0" w:type="auto"/>
            <w:vMerge w:val="restart"/>
            <w:shd w:val="clear" w:color="auto" w:fill="CCECFF"/>
            <w:vAlign w:val="center"/>
          </w:tcPr>
          <w:p w:rsidR="00E15BF7" w:rsidRDefault="00E15BF7" w:rsidP="00E15BF7">
            <w:pPr>
              <w:keepNext/>
              <w:jc w:val="center"/>
            </w:pPr>
            <w:r>
              <w:t>Growth rate in NE</w:t>
            </w:r>
            <w:r w:rsidR="00E30136">
              <w:t>A</w:t>
            </w:r>
          </w:p>
        </w:tc>
      </w:tr>
      <w:tr w:rsidR="00E15BF7" w:rsidTr="00140770">
        <w:trPr>
          <w:cantSplit/>
        </w:trPr>
        <w:tc>
          <w:tcPr>
            <w:tcW w:w="0" w:type="auto"/>
            <w:vMerge/>
            <w:shd w:val="clear" w:color="auto" w:fill="CCECFF"/>
          </w:tcPr>
          <w:p w:rsidR="00E15BF7" w:rsidRDefault="00E15BF7" w:rsidP="00E660A6">
            <w:pPr>
              <w:keepNext/>
              <w:jc w:val="center"/>
            </w:pPr>
          </w:p>
        </w:tc>
        <w:tc>
          <w:tcPr>
            <w:tcW w:w="0" w:type="auto"/>
            <w:tcBorders>
              <w:top w:val="single" w:sz="4" w:space="0" w:color="auto"/>
            </w:tcBorders>
            <w:shd w:val="clear" w:color="auto" w:fill="CCECFF"/>
          </w:tcPr>
          <w:p w:rsidR="00E15BF7" w:rsidRDefault="00E15BF7" w:rsidP="00E660A6">
            <w:pPr>
              <w:keepNext/>
              <w:jc w:val="center"/>
            </w:pPr>
            <w:r>
              <w:t>Enterprise value</w:t>
            </w:r>
          </w:p>
        </w:tc>
        <w:tc>
          <w:tcPr>
            <w:tcW w:w="0" w:type="auto"/>
            <w:vMerge/>
            <w:shd w:val="clear" w:color="auto" w:fill="CCECFF"/>
          </w:tcPr>
          <w:p w:rsidR="00E15BF7" w:rsidRDefault="00E15BF7" w:rsidP="00E660A6">
            <w:pPr>
              <w:keepNext/>
              <w:jc w:val="center"/>
            </w:pPr>
          </w:p>
        </w:tc>
        <w:tc>
          <w:tcPr>
            <w:tcW w:w="0" w:type="auto"/>
            <w:vMerge/>
            <w:shd w:val="clear" w:color="auto" w:fill="CCECFF"/>
            <w:vAlign w:val="center"/>
          </w:tcPr>
          <w:p w:rsidR="00E15BF7" w:rsidRDefault="00E15BF7" w:rsidP="00E660A6">
            <w:pPr>
              <w:keepNext/>
              <w:jc w:val="center"/>
            </w:pPr>
          </w:p>
        </w:tc>
      </w:tr>
    </w:tbl>
    <w:p w:rsidR="00E15BF7" w:rsidRDefault="00E15BF7" w:rsidP="00140770"/>
    <w:tbl>
      <w:tblPr>
        <w:tblW w:w="0" w:type="auto"/>
        <w:tblInd w:w="115" w:type="dxa"/>
        <w:shd w:val="clear" w:color="auto" w:fill="CCECFF"/>
        <w:tblLook w:val="01E0" w:firstRow="1" w:lastRow="1" w:firstColumn="1" w:lastColumn="1" w:noHBand="0" w:noVBand="0"/>
      </w:tblPr>
      <w:tblGrid>
        <w:gridCol w:w="4952"/>
        <w:gridCol w:w="1496"/>
      </w:tblGrid>
      <w:tr w:rsidR="0041143C" w:rsidTr="00E660A6">
        <w:trPr>
          <w:cantSplit/>
        </w:trPr>
        <w:tc>
          <w:tcPr>
            <w:tcW w:w="0" w:type="auto"/>
            <w:vMerge w:val="restart"/>
            <w:shd w:val="clear" w:color="auto" w:fill="CCECFF"/>
            <w:vAlign w:val="center"/>
          </w:tcPr>
          <w:p w:rsidR="0041143C" w:rsidRPr="00FE337A" w:rsidRDefault="000B332D" w:rsidP="00C21B3C">
            <w:pPr>
              <w:keepNext/>
              <w:jc w:val="center"/>
            </w:pPr>
            <w:r>
              <w:t>Market-based</w:t>
            </w:r>
            <w:r w:rsidR="0041143C">
              <w:t xml:space="preserve"> ROE = </w:t>
            </w:r>
            <w:r>
              <w:t>M</w:t>
            </w:r>
            <w:r w:rsidR="0041143C">
              <w:t>ROIC + (</w:t>
            </w:r>
            <w:r>
              <w:t>M</w:t>
            </w:r>
            <w:r w:rsidR="0041143C">
              <w:t>ROIC – r</w:t>
            </w:r>
            <w:r w:rsidR="00C21B3C">
              <w:rPr>
                <w:vertAlign w:val="subscript"/>
              </w:rPr>
              <w:t>n</w:t>
            </w:r>
            <w:r w:rsidR="0041143C">
              <w:t xml:space="preserve">*(1-t))* </w:t>
            </w:r>
          </w:p>
        </w:tc>
        <w:tc>
          <w:tcPr>
            <w:tcW w:w="0" w:type="auto"/>
            <w:tcBorders>
              <w:bottom w:val="single" w:sz="4" w:space="0" w:color="auto"/>
            </w:tcBorders>
            <w:shd w:val="clear" w:color="auto" w:fill="CCECFF"/>
          </w:tcPr>
          <w:p w:rsidR="0041143C" w:rsidRDefault="0041143C" w:rsidP="00E660A6">
            <w:pPr>
              <w:keepNext/>
              <w:jc w:val="center"/>
            </w:pPr>
            <w:r>
              <w:t>MV of  net FL</w:t>
            </w:r>
          </w:p>
        </w:tc>
      </w:tr>
      <w:tr w:rsidR="0041143C" w:rsidTr="00E660A6">
        <w:trPr>
          <w:cantSplit/>
        </w:trPr>
        <w:tc>
          <w:tcPr>
            <w:tcW w:w="0" w:type="auto"/>
            <w:vMerge/>
            <w:shd w:val="clear" w:color="auto" w:fill="CCECFF"/>
          </w:tcPr>
          <w:p w:rsidR="0041143C" w:rsidRDefault="0041143C" w:rsidP="00E660A6">
            <w:pPr>
              <w:keepNext/>
              <w:jc w:val="center"/>
            </w:pPr>
          </w:p>
        </w:tc>
        <w:tc>
          <w:tcPr>
            <w:tcW w:w="0" w:type="auto"/>
            <w:tcBorders>
              <w:top w:val="single" w:sz="4" w:space="0" w:color="auto"/>
            </w:tcBorders>
            <w:shd w:val="clear" w:color="auto" w:fill="CCECFF"/>
          </w:tcPr>
          <w:p w:rsidR="0041143C" w:rsidRDefault="0041143C" w:rsidP="00E660A6">
            <w:pPr>
              <w:keepNext/>
              <w:jc w:val="center"/>
            </w:pPr>
            <w:r>
              <w:t>MV of Equity</w:t>
            </w:r>
          </w:p>
        </w:tc>
      </w:tr>
    </w:tbl>
    <w:p w:rsidR="00693014" w:rsidRPr="00693014" w:rsidRDefault="0062360C" w:rsidP="00693014">
      <w:pPr>
        <w:pStyle w:val="Heading1"/>
      </w:pPr>
      <w:r>
        <w:t>Q</w:t>
      </w:r>
      <w:r w:rsidR="00693014">
        <w:t xml:space="preserve">uestions addressed by the </w:t>
      </w:r>
      <w:r w:rsidR="00693014" w:rsidRPr="00693014">
        <w:t>spreadsheet</w:t>
      </w:r>
      <w:r>
        <w:t>: Summary</w:t>
      </w:r>
    </w:p>
    <w:p w:rsidR="00693014" w:rsidRDefault="00693014" w:rsidP="00693014">
      <w:pPr>
        <w:pStyle w:val="BodyText"/>
      </w:pPr>
      <w:r w:rsidRPr="00693014">
        <w:t>FSA1</w:t>
      </w:r>
      <w:r w:rsidR="00FA034C">
        <w:t xml:space="preserve"> starts </w:t>
      </w:r>
      <w:r w:rsidR="004161F2">
        <w:t xml:space="preserve">the </w:t>
      </w:r>
      <w:r w:rsidR="009D311F">
        <w:t xml:space="preserve">analysis </w:t>
      </w:r>
      <w:r w:rsidRPr="00693014">
        <w:t xml:space="preserve">because it addresses the following core </w:t>
      </w:r>
      <w:r w:rsidR="000431C5">
        <w:t xml:space="preserve">questions about </w:t>
      </w:r>
      <w:r w:rsidRPr="00693014">
        <w:t>a business:</w:t>
      </w:r>
    </w:p>
    <w:p w:rsidR="0063731A" w:rsidRDefault="00693014" w:rsidP="000431C5">
      <w:pPr>
        <w:pStyle w:val="BodyText"/>
        <w:numPr>
          <w:ilvl w:val="0"/>
          <w:numId w:val="42"/>
        </w:numPr>
      </w:pPr>
      <w:r w:rsidRPr="00693014">
        <w:t xml:space="preserve">Did the enterprise generate or use </w:t>
      </w:r>
      <w:r w:rsidR="00B05540">
        <w:t>enterprise cash flows (</w:t>
      </w:r>
      <w:r w:rsidRPr="00693014">
        <w:t>ECF</w:t>
      </w:r>
      <w:r w:rsidR="00B05540">
        <w:t>)</w:t>
      </w:r>
      <w:r w:rsidRPr="00693014">
        <w:t>?</w:t>
      </w:r>
      <w:r w:rsidR="00EE5BA5">
        <w:t xml:space="preserve"> How did the two drivers of ECF – </w:t>
      </w:r>
      <w:r w:rsidR="00B05540">
        <w:t>return on invested capital (ROIC)</w:t>
      </w:r>
      <w:r w:rsidR="00EE5BA5">
        <w:t xml:space="preserve"> </w:t>
      </w:r>
      <w:r w:rsidRPr="00693014">
        <w:t xml:space="preserve">and growth in </w:t>
      </w:r>
      <w:r w:rsidR="00B05540">
        <w:t>net enterprise assets (NEA)</w:t>
      </w:r>
      <w:r w:rsidRPr="00693014">
        <w:t xml:space="preserve"> </w:t>
      </w:r>
      <w:r w:rsidR="00EE5BA5">
        <w:t>– in</w:t>
      </w:r>
      <w:r w:rsidRPr="00693014">
        <w:t xml:space="preserve">fluence </w:t>
      </w:r>
      <w:r w:rsidR="00B05540">
        <w:t>ECF</w:t>
      </w:r>
      <w:r w:rsidRPr="00693014">
        <w:t>?</w:t>
      </w:r>
    </w:p>
    <w:p w:rsidR="0063731A" w:rsidRDefault="000A2A8A" w:rsidP="000431C5">
      <w:pPr>
        <w:pStyle w:val="BodyText"/>
        <w:numPr>
          <w:ilvl w:val="0"/>
          <w:numId w:val="42"/>
        </w:numPr>
      </w:pPr>
      <w:r>
        <w:t>If the ECF was positive, how much was paid</w:t>
      </w:r>
      <w:r w:rsidR="00D23212">
        <w:t xml:space="preserve"> to lenders</w:t>
      </w:r>
      <w:r>
        <w:t xml:space="preserve">, distributed to shareholders, or kept as financial assets. </w:t>
      </w:r>
      <w:r w:rsidR="00D23212">
        <w:t xml:space="preserve">If the ECF was negative, then how </w:t>
      </w:r>
      <w:r>
        <w:t xml:space="preserve">much was borrowed from </w:t>
      </w:r>
      <w:r w:rsidR="00D23212">
        <w:t>lenders</w:t>
      </w:r>
      <w:r>
        <w:t>, received from shareholders, or received from liquidating financial assets?</w:t>
      </w:r>
    </w:p>
    <w:p w:rsidR="00693014" w:rsidRDefault="00B05540" w:rsidP="000431C5">
      <w:pPr>
        <w:pStyle w:val="BodyText"/>
        <w:numPr>
          <w:ilvl w:val="0"/>
          <w:numId w:val="42"/>
        </w:numPr>
      </w:pPr>
      <w:r>
        <w:t>Regarding the first driver of ECF, w</w:t>
      </w:r>
      <w:r w:rsidR="00A30775">
        <w:t xml:space="preserve">hat was </w:t>
      </w:r>
      <w:r w:rsidR="00770CCB">
        <w:t xml:space="preserve">the </w:t>
      </w:r>
      <w:r w:rsidR="00755717">
        <w:t xml:space="preserve">ROIC? </w:t>
      </w:r>
      <w:r>
        <w:t>W</w:t>
      </w:r>
      <w:r w:rsidR="00BC50C2">
        <w:t>hat were the levels of the two components of ROIC namely e</w:t>
      </w:r>
      <w:r w:rsidR="0063731A">
        <w:t xml:space="preserve">nterprise profit margin after tax and net enterprise asset </w:t>
      </w:r>
      <w:r w:rsidR="00811ED2">
        <w:t>turnover</w:t>
      </w:r>
      <w:r w:rsidR="0063731A">
        <w:t>? (</w:t>
      </w:r>
      <w:r w:rsidR="00693014" w:rsidRPr="00693014">
        <w:t xml:space="preserve">These metrics </w:t>
      </w:r>
      <w:r w:rsidR="00450C85">
        <w:t xml:space="preserve">are essential </w:t>
      </w:r>
      <w:r w:rsidR="0063731A">
        <w:t xml:space="preserve">to </w:t>
      </w:r>
      <w:r w:rsidR="00693014" w:rsidRPr="00693014">
        <w:t xml:space="preserve">valuation in </w:t>
      </w:r>
      <w:r w:rsidR="003B4453">
        <w:t xml:space="preserve">the </w:t>
      </w:r>
      <w:r w:rsidR="00450C85">
        <w:t>VAL1</w:t>
      </w:r>
      <w:r w:rsidR="00693014" w:rsidRPr="00693014">
        <w:t xml:space="preserve"> spreadsheet.)</w:t>
      </w:r>
      <w:r w:rsidR="001C77E6">
        <w:t xml:space="preserve"> That is, is it a high margin business or </w:t>
      </w:r>
      <w:r w:rsidR="008A5349">
        <w:t>a low asset intensity business relative to other firms or industries?</w:t>
      </w:r>
    </w:p>
    <w:p w:rsidR="00544DFD" w:rsidRDefault="00296027" w:rsidP="000431C5">
      <w:pPr>
        <w:pStyle w:val="BodyText"/>
        <w:numPr>
          <w:ilvl w:val="0"/>
          <w:numId w:val="42"/>
        </w:numPr>
      </w:pPr>
      <w:r>
        <w:t xml:space="preserve">Are the net financial liabilities positive or negative? </w:t>
      </w:r>
      <w:r w:rsidR="002D3346">
        <w:t>W</w:t>
      </w:r>
      <w:r>
        <w:t xml:space="preserve">hat was the ratio of the net financial liabilities to equity? What was the spread between after-tax ROIC and after-tax interest rate? </w:t>
      </w:r>
      <w:r w:rsidR="0014743D">
        <w:t xml:space="preserve">How did leverage and spread </w:t>
      </w:r>
      <w:r w:rsidR="00133DA0">
        <w:t>cause</w:t>
      </w:r>
      <w:r w:rsidR="0014743D">
        <w:t xml:space="preserve"> ROE </w:t>
      </w:r>
      <w:r w:rsidR="00133DA0">
        <w:t xml:space="preserve">to </w:t>
      </w:r>
      <w:r w:rsidR="0014743D">
        <w:t>differ from ROIC?</w:t>
      </w:r>
    </w:p>
    <w:p w:rsidR="00F56C19" w:rsidRPr="00693014" w:rsidRDefault="00F56C19" w:rsidP="000431C5">
      <w:pPr>
        <w:pStyle w:val="BodyText"/>
        <w:numPr>
          <w:ilvl w:val="0"/>
          <w:numId w:val="42"/>
        </w:numPr>
      </w:pPr>
      <w:r w:rsidRPr="00F56C19">
        <w:t xml:space="preserve">Compare the growth in sales to the growth in invested capital. Does the difference reflect positively, or negatively, on </w:t>
      </w:r>
      <w:r>
        <w:t>net enterprise asset turnover</w:t>
      </w:r>
      <w:r w:rsidRPr="00F56C19">
        <w:t>?</w:t>
      </w:r>
    </w:p>
    <w:p w:rsidR="00693014" w:rsidRPr="007C5B45" w:rsidRDefault="00693014" w:rsidP="00693014">
      <w:pPr>
        <w:rPr>
          <w:sz w:val="28"/>
          <w:szCs w:val="28"/>
        </w:rPr>
      </w:pPr>
    </w:p>
    <w:p w:rsidR="00693014" w:rsidRDefault="00693014" w:rsidP="00693014">
      <w:pPr>
        <w:pStyle w:val="BodyText"/>
      </w:pPr>
    </w:p>
    <w:sectPr w:rsidR="0069301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03" w:rsidRDefault="007E4B03">
      <w:r>
        <w:separator/>
      </w:r>
    </w:p>
  </w:endnote>
  <w:endnote w:type="continuationSeparator" w:id="0">
    <w:p w:rsidR="007E4B03" w:rsidRDefault="007E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AE" w:rsidRDefault="00BA33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A33AE" w:rsidRDefault="00BA3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AE" w:rsidRPr="00726FBE" w:rsidRDefault="00BA33AE" w:rsidP="0087571E">
    <w:pPr>
      <w:pStyle w:val="Footer"/>
      <w:tabs>
        <w:tab w:val="clear" w:pos="4320"/>
      </w:tabs>
    </w:pPr>
    <w:r>
      <w:fldChar w:fldCharType="begin"/>
    </w:r>
    <w:r>
      <w:instrText xml:space="preserve"> DATE \@ "MMMM d, yyyy" </w:instrText>
    </w:r>
    <w:r>
      <w:fldChar w:fldCharType="separate"/>
    </w:r>
    <w:r w:rsidR="00565246">
      <w:rPr>
        <w:noProof/>
      </w:rPr>
      <w:t>September 3, 2016</w:t>
    </w:r>
    <w:r>
      <w:fldChar w:fldCharType="end"/>
    </w:r>
    <w:r>
      <w:t xml:space="preserve"> Visit </w:t>
    </w:r>
    <w:hyperlink r:id="rId1" w:history="1">
      <w:r w:rsidRPr="00744C6D">
        <w:rPr>
          <w:rStyle w:val="Hyperlink"/>
        </w:rPr>
        <w:t>http://www.godeohlson.com/</w:t>
      </w:r>
    </w:hyperlink>
    <w:r>
      <w:t xml:space="preserve"> for updates. </w:t>
    </w:r>
    <w:r>
      <w:tab/>
    </w:r>
    <w:r>
      <w:fldChar w:fldCharType="begin"/>
    </w:r>
    <w:r>
      <w:instrText xml:space="preserve"> PAGE </w:instrText>
    </w:r>
    <w:r>
      <w:fldChar w:fldCharType="separate"/>
    </w:r>
    <w:r w:rsidR="005652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03" w:rsidRDefault="007E4B03">
      <w:r>
        <w:separator/>
      </w:r>
    </w:p>
  </w:footnote>
  <w:footnote w:type="continuationSeparator" w:id="0">
    <w:p w:rsidR="007E4B03" w:rsidRDefault="007E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AE" w:rsidRDefault="00BA33AE" w:rsidP="0087571E">
    <w:pPr>
      <w:pStyle w:val="Header"/>
      <w:tabs>
        <w:tab w:val="clear" w:pos="4320"/>
      </w:tabs>
    </w:pPr>
    <w:smartTag w:uri="urn:schemas-microsoft-com:office:smarttags" w:element="place">
      <w:smartTag w:uri="urn:schemas-microsoft-com:office:smarttags" w:element="City">
        <w:r>
          <w:t>Enterprise</w:t>
        </w:r>
      </w:smartTag>
    </w:smartTag>
    <w:r>
      <w:t xml:space="preserve"> and Financial Activities</w:t>
    </w:r>
    <w:r>
      <w:tab/>
    </w:r>
    <w:r>
      <w:rPr>
        <w:rStyle w:val="PageNumber"/>
      </w:rPr>
      <w:fldChar w:fldCharType="begin"/>
    </w:r>
    <w:r>
      <w:rPr>
        <w:rStyle w:val="PageNumber"/>
      </w:rPr>
      <w:instrText xml:space="preserve"> PAGE </w:instrText>
    </w:r>
    <w:r>
      <w:rPr>
        <w:rStyle w:val="PageNumber"/>
      </w:rPr>
      <w:fldChar w:fldCharType="separate"/>
    </w:r>
    <w:r w:rsidR="00565246">
      <w:rPr>
        <w:rStyle w:val="PageNumber"/>
        <w:noProof/>
      </w:rPr>
      <w:t>1</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7D5"/>
    <w:multiLevelType w:val="multilevel"/>
    <w:tmpl w:val="E30E3590"/>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9C58FC"/>
    <w:multiLevelType w:val="multilevel"/>
    <w:tmpl w:val="29529492"/>
    <w:numStyleLink w:val="ListBulleted"/>
  </w:abstractNum>
  <w:abstractNum w:abstractNumId="2"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0A8E1A21"/>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586E93"/>
    <w:multiLevelType w:val="multilevel"/>
    <w:tmpl w:val="9A4CBF2E"/>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6" w15:restartNumberingAfterBreak="0">
    <w:nsid w:val="1F8D1C14"/>
    <w:multiLevelType w:val="multilevel"/>
    <w:tmpl w:val="29529492"/>
    <w:numStyleLink w:val="ListBulleted"/>
  </w:abstractNum>
  <w:abstractNum w:abstractNumId="7" w15:restartNumberingAfterBreak="0">
    <w:nsid w:val="2039605C"/>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85A75"/>
    <w:multiLevelType w:val="multilevel"/>
    <w:tmpl w:val="29529492"/>
    <w:numStyleLink w:val="ListBulleted"/>
  </w:abstractNum>
  <w:abstractNum w:abstractNumId="10" w15:restartNumberingAfterBreak="0">
    <w:nsid w:val="215B5CF0"/>
    <w:multiLevelType w:val="multilevel"/>
    <w:tmpl w:val="29529492"/>
    <w:numStyleLink w:val="ListBulleted"/>
  </w:abstractNum>
  <w:abstractNum w:abstractNumId="11" w15:restartNumberingAfterBreak="0">
    <w:nsid w:val="21B9772F"/>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DC5A0D"/>
    <w:multiLevelType w:val="hybridMultilevel"/>
    <w:tmpl w:val="928EDDFE"/>
    <w:lvl w:ilvl="0" w:tplc="71EE32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364E"/>
    <w:multiLevelType w:val="multilevel"/>
    <w:tmpl w:val="E30E3590"/>
    <w:numStyleLink w:val="ListOutlineNumbered"/>
  </w:abstractNum>
  <w:abstractNum w:abstractNumId="14" w15:restartNumberingAfterBreak="0">
    <w:nsid w:val="27744E0E"/>
    <w:multiLevelType w:val="multilevel"/>
    <w:tmpl w:val="E30E3590"/>
    <w:numStyleLink w:val="ListOutlineNumbered"/>
  </w:abstractNum>
  <w:abstractNum w:abstractNumId="15"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FE7287"/>
    <w:multiLevelType w:val="hybridMultilevel"/>
    <w:tmpl w:val="B94E75D2"/>
    <w:lvl w:ilvl="0" w:tplc="D2EEA5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18" w15:restartNumberingAfterBreak="0">
    <w:nsid w:val="345600FD"/>
    <w:multiLevelType w:val="hybridMultilevel"/>
    <w:tmpl w:val="BB16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B6374"/>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7AA35C6"/>
    <w:multiLevelType w:val="multilevel"/>
    <w:tmpl w:val="29529492"/>
    <w:numStyleLink w:val="ListBulleted"/>
  </w:abstractNum>
  <w:abstractNum w:abstractNumId="22" w15:restartNumberingAfterBreak="0">
    <w:nsid w:val="3B450AB2"/>
    <w:multiLevelType w:val="multilevel"/>
    <w:tmpl w:val="9A4CBF2E"/>
    <w:styleLink w:val="ListOutlineChar"/>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505"/>
    <w:multiLevelType w:val="multilevel"/>
    <w:tmpl w:val="9A4CBF2E"/>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26" w15:restartNumberingAfterBreak="0">
    <w:nsid w:val="47705053"/>
    <w:multiLevelType w:val="multilevel"/>
    <w:tmpl w:val="0BDE7F6A"/>
    <w:numStyleLink w:val="StyleOutlinenumbered"/>
  </w:abstractNum>
  <w:abstractNum w:abstractNumId="27" w15:restartNumberingAfterBreak="0">
    <w:nsid w:val="5033749C"/>
    <w:multiLevelType w:val="multilevel"/>
    <w:tmpl w:val="29529492"/>
    <w:numStyleLink w:val="ListBulleted"/>
  </w:abstractNum>
  <w:abstractNum w:abstractNumId="28" w15:restartNumberingAfterBreak="0">
    <w:nsid w:val="5092336E"/>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83D7305"/>
    <w:multiLevelType w:val="multilevel"/>
    <w:tmpl w:val="0BDE7F6A"/>
    <w:numStyleLink w:val="StyleOutlinenumbered"/>
  </w:abstractNum>
  <w:abstractNum w:abstractNumId="31" w15:restartNumberingAfterBreak="0">
    <w:nsid w:val="598A3D4F"/>
    <w:multiLevelType w:val="multilevel"/>
    <w:tmpl w:val="0BDE7F6A"/>
    <w:numStyleLink w:val="StyleOutlinenumbered"/>
  </w:abstractNum>
  <w:abstractNum w:abstractNumId="32" w15:restartNumberingAfterBreak="0">
    <w:nsid w:val="5A23283A"/>
    <w:multiLevelType w:val="multilevel"/>
    <w:tmpl w:val="29529492"/>
    <w:numStyleLink w:val="ListBulleted"/>
  </w:abstractNum>
  <w:abstractNum w:abstractNumId="33"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34" w15:restartNumberingAfterBreak="0">
    <w:nsid w:val="61A0762E"/>
    <w:multiLevelType w:val="multilevel"/>
    <w:tmpl w:val="E30E3590"/>
    <w:numStyleLink w:val="ListOutlineNumbered"/>
  </w:abstractNum>
  <w:abstractNum w:abstractNumId="35"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38"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1494"/>
        </w:tabs>
        <w:ind w:left="149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E812121"/>
    <w:multiLevelType w:val="multilevel"/>
    <w:tmpl w:val="E30E3590"/>
    <w:numStyleLink w:val="ListOutlineNumbered"/>
  </w:abstractNum>
  <w:abstractNum w:abstractNumId="40" w15:restartNumberingAfterBreak="0">
    <w:nsid w:val="6E864C2D"/>
    <w:multiLevelType w:val="multilevel"/>
    <w:tmpl w:val="29529492"/>
    <w:numStyleLink w:val="ListBulleted"/>
  </w:abstractNum>
  <w:abstractNum w:abstractNumId="41"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78A35D45"/>
    <w:multiLevelType w:val="multilevel"/>
    <w:tmpl w:val="0BDE7F6A"/>
    <w:numStyleLink w:val="StyleOutlinenumbered"/>
  </w:abstractNum>
  <w:abstractNum w:abstractNumId="43" w15:restartNumberingAfterBreak="0">
    <w:nsid w:val="7DBE2A59"/>
    <w:multiLevelType w:val="multilevel"/>
    <w:tmpl w:val="29529492"/>
    <w:numStyleLink w:val="ListBulleted"/>
  </w:abstractNum>
  <w:abstractNum w:abstractNumId="44"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8"/>
  </w:num>
  <w:num w:numId="2">
    <w:abstractNumId w:val="36"/>
  </w:num>
  <w:num w:numId="3">
    <w:abstractNumId w:val="37"/>
  </w:num>
  <w:num w:numId="4">
    <w:abstractNumId w:val="25"/>
  </w:num>
  <w:num w:numId="5">
    <w:abstractNumId w:val="22"/>
  </w:num>
  <w:num w:numId="6">
    <w:abstractNumId w:val="20"/>
  </w:num>
  <w:num w:numId="7">
    <w:abstractNumId w:val="8"/>
  </w:num>
  <w:num w:numId="8">
    <w:abstractNumId w:val="23"/>
  </w:num>
  <w:num w:numId="9">
    <w:abstractNumId w:val="10"/>
  </w:num>
  <w:num w:numId="10">
    <w:abstractNumId w:val="7"/>
  </w:num>
  <w:num w:numId="11">
    <w:abstractNumId w:val="24"/>
  </w:num>
  <w:num w:numId="12">
    <w:abstractNumId w:val="13"/>
  </w:num>
  <w:num w:numId="13">
    <w:abstractNumId w:val="4"/>
  </w:num>
  <w:num w:numId="14">
    <w:abstractNumId w:val="16"/>
  </w:num>
  <w:num w:numId="15">
    <w:abstractNumId w:val="27"/>
  </w:num>
  <w:num w:numId="16">
    <w:abstractNumId w:val="21"/>
  </w:num>
  <w:num w:numId="17">
    <w:abstractNumId w:val="6"/>
  </w:num>
  <w:num w:numId="18">
    <w:abstractNumId w:val="32"/>
  </w:num>
  <w:num w:numId="19">
    <w:abstractNumId w:val="1"/>
  </w:num>
  <w:num w:numId="20">
    <w:abstractNumId w:val="2"/>
  </w:num>
  <w:num w:numId="21">
    <w:abstractNumId w:val="5"/>
  </w:num>
  <w:num w:numId="22">
    <w:abstractNumId w:val="15"/>
  </w:num>
  <w:num w:numId="23">
    <w:abstractNumId w:val="33"/>
  </w:num>
  <w:num w:numId="24">
    <w:abstractNumId w:val="28"/>
  </w:num>
  <w:num w:numId="25">
    <w:abstractNumId w:val="17"/>
  </w:num>
  <w:num w:numId="26">
    <w:abstractNumId w:val="3"/>
  </w:num>
  <w:num w:numId="27">
    <w:abstractNumId w:val="19"/>
  </w:num>
  <w:num w:numId="28">
    <w:abstractNumId w:val="11"/>
  </w:num>
  <w:num w:numId="29">
    <w:abstractNumId w:val="44"/>
  </w:num>
  <w:num w:numId="30">
    <w:abstractNumId w:val="29"/>
  </w:num>
  <w:num w:numId="31">
    <w:abstractNumId w:val="35"/>
  </w:num>
  <w:num w:numId="32">
    <w:abstractNumId w:val="41"/>
  </w:num>
  <w:num w:numId="33">
    <w:abstractNumId w:val="26"/>
  </w:num>
  <w:num w:numId="34">
    <w:abstractNumId w:val="42"/>
  </w:num>
  <w:num w:numId="35">
    <w:abstractNumId w:val="30"/>
  </w:num>
  <w:num w:numId="36">
    <w:abstractNumId w:val="31"/>
  </w:num>
  <w:num w:numId="37">
    <w:abstractNumId w:val="40"/>
  </w:num>
  <w:num w:numId="38">
    <w:abstractNumId w:val="9"/>
  </w:num>
  <w:num w:numId="39">
    <w:abstractNumId w:val="43"/>
  </w:num>
  <w:num w:numId="40">
    <w:abstractNumId w:val="18"/>
  </w:num>
  <w:num w:numId="41">
    <w:abstractNumId w:val="14"/>
  </w:num>
  <w:num w:numId="42">
    <w:abstractNumId w:val="39"/>
  </w:num>
  <w:num w:numId="43">
    <w:abstractNumId w:val="34"/>
  </w:num>
  <w:num w:numId="44">
    <w:abstractNumId w:val="12"/>
  </w:num>
  <w:num w:numId="4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C6"/>
    <w:rsid w:val="000024DF"/>
    <w:rsid w:val="00003101"/>
    <w:rsid w:val="000031C0"/>
    <w:rsid w:val="00003858"/>
    <w:rsid w:val="00010401"/>
    <w:rsid w:val="000127E3"/>
    <w:rsid w:val="00016D2B"/>
    <w:rsid w:val="000201BD"/>
    <w:rsid w:val="000274F2"/>
    <w:rsid w:val="0003670F"/>
    <w:rsid w:val="000379AC"/>
    <w:rsid w:val="00041EE4"/>
    <w:rsid w:val="000431C5"/>
    <w:rsid w:val="00046273"/>
    <w:rsid w:val="000479CF"/>
    <w:rsid w:val="000517D5"/>
    <w:rsid w:val="00052DDB"/>
    <w:rsid w:val="00054087"/>
    <w:rsid w:val="00055512"/>
    <w:rsid w:val="00056A4C"/>
    <w:rsid w:val="00056A59"/>
    <w:rsid w:val="00062BD8"/>
    <w:rsid w:val="0006450D"/>
    <w:rsid w:val="00064F94"/>
    <w:rsid w:val="00067622"/>
    <w:rsid w:val="00070258"/>
    <w:rsid w:val="00072DF7"/>
    <w:rsid w:val="0007485D"/>
    <w:rsid w:val="00081FD4"/>
    <w:rsid w:val="00082E84"/>
    <w:rsid w:val="00085B31"/>
    <w:rsid w:val="00092838"/>
    <w:rsid w:val="0009330E"/>
    <w:rsid w:val="00095521"/>
    <w:rsid w:val="00095FE3"/>
    <w:rsid w:val="000A0228"/>
    <w:rsid w:val="000A2A8A"/>
    <w:rsid w:val="000A38C3"/>
    <w:rsid w:val="000A6D0A"/>
    <w:rsid w:val="000B1ADB"/>
    <w:rsid w:val="000B1F0A"/>
    <w:rsid w:val="000B332D"/>
    <w:rsid w:val="000B74DA"/>
    <w:rsid w:val="000C2703"/>
    <w:rsid w:val="000D377D"/>
    <w:rsid w:val="000D3819"/>
    <w:rsid w:val="000D4D99"/>
    <w:rsid w:val="000D714F"/>
    <w:rsid w:val="000E0C4D"/>
    <w:rsid w:val="000F16EF"/>
    <w:rsid w:val="000F4647"/>
    <w:rsid w:val="000F675D"/>
    <w:rsid w:val="000F6B7B"/>
    <w:rsid w:val="0010523F"/>
    <w:rsid w:val="001112C9"/>
    <w:rsid w:val="00114425"/>
    <w:rsid w:val="001313A0"/>
    <w:rsid w:val="00133DA0"/>
    <w:rsid w:val="00135623"/>
    <w:rsid w:val="00140770"/>
    <w:rsid w:val="00143A10"/>
    <w:rsid w:val="0014743D"/>
    <w:rsid w:val="001479BB"/>
    <w:rsid w:val="00147B8E"/>
    <w:rsid w:val="0015180D"/>
    <w:rsid w:val="0015455F"/>
    <w:rsid w:val="00156F02"/>
    <w:rsid w:val="001575EC"/>
    <w:rsid w:val="0016095E"/>
    <w:rsid w:val="00163D0E"/>
    <w:rsid w:val="00172EC6"/>
    <w:rsid w:val="001749F0"/>
    <w:rsid w:val="00182B62"/>
    <w:rsid w:val="00185B85"/>
    <w:rsid w:val="0019257F"/>
    <w:rsid w:val="001A0309"/>
    <w:rsid w:val="001A0452"/>
    <w:rsid w:val="001A7555"/>
    <w:rsid w:val="001B2961"/>
    <w:rsid w:val="001B2B4B"/>
    <w:rsid w:val="001B7048"/>
    <w:rsid w:val="001C77E6"/>
    <w:rsid w:val="001D2BAD"/>
    <w:rsid w:val="001D2F80"/>
    <w:rsid w:val="001D436B"/>
    <w:rsid w:val="001D4A47"/>
    <w:rsid w:val="001D4BE3"/>
    <w:rsid w:val="001D76A1"/>
    <w:rsid w:val="001D77F4"/>
    <w:rsid w:val="001E43B1"/>
    <w:rsid w:val="001E47E9"/>
    <w:rsid w:val="001E4E65"/>
    <w:rsid w:val="001E5EA9"/>
    <w:rsid w:val="001F38F7"/>
    <w:rsid w:val="0020096B"/>
    <w:rsid w:val="00202C3A"/>
    <w:rsid w:val="00205CA3"/>
    <w:rsid w:val="002071C4"/>
    <w:rsid w:val="00210377"/>
    <w:rsid w:val="0021109F"/>
    <w:rsid w:val="002121F0"/>
    <w:rsid w:val="00212957"/>
    <w:rsid w:val="002205B6"/>
    <w:rsid w:val="00220C7F"/>
    <w:rsid w:val="0022194B"/>
    <w:rsid w:val="00223E90"/>
    <w:rsid w:val="002254B7"/>
    <w:rsid w:val="00241B25"/>
    <w:rsid w:val="00246A8A"/>
    <w:rsid w:val="00250C41"/>
    <w:rsid w:val="00251DB4"/>
    <w:rsid w:val="00253607"/>
    <w:rsid w:val="00255026"/>
    <w:rsid w:val="00256176"/>
    <w:rsid w:val="00256296"/>
    <w:rsid w:val="00257689"/>
    <w:rsid w:val="002620D5"/>
    <w:rsid w:val="00265B11"/>
    <w:rsid w:val="00266A4D"/>
    <w:rsid w:val="00271E6C"/>
    <w:rsid w:val="00275FA2"/>
    <w:rsid w:val="002768A8"/>
    <w:rsid w:val="002769BF"/>
    <w:rsid w:val="002821E1"/>
    <w:rsid w:val="00282C50"/>
    <w:rsid w:val="00284657"/>
    <w:rsid w:val="00285095"/>
    <w:rsid w:val="00285D95"/>
    <w:rsid w:val="00285EBC"/>
    <w:rsid w:val="00286A72"/>
    <w:rsid w:val="00293684"/>
    <w:rsid w:val="00296027"/>
    <w:rsid w:val="00297863"/>
    <w:rsid w:val="00297A3C"/>
    <w:rsid w:val="00297D70"/>
    <w:rsid w:val="002A0A7A"/>
    <w:rsid w:val="002A108A"/>
    <w:rsid w:val="002A1BB6"/>
    <w:rsid w:val="002A4949"/>
    <w:rsid w:val="002A5D8D"/>
    <w:rsid w:val="002C0E64"/>
    <w:rsid w:val="002C46C4"/>
    <w:rsid w:val="002C540C"/>
    <w:rsid w:val="002C67E4"/>
    <w:rsid w:val="002C781B"/>
    <w:rsid w:val="002C79D8"/>
    <w:rsid w:val="002C7BCC"/>
    <w:rsid w:val="002C7DDD"/>
    <w:rsid w:val="002D0B02"/>
    <w:rsid w:val="002D3346"/>
    <w:rsid w:val="002D3793"/>
    <w:rsid w:val="002D6A50"/>
    <w:rsid w:val="002E2680"/>
    <w:rsid w:val="002E5D21"/>
    <w:rsid w:val="002E7BF3"/>
    <w:rsid w:val="002F0C20"/>
    <w:rsid w:val="002F12E2"/>
    <w:rsid w:val="002F2852"/>
    <w:rsid w:val="002F62C8"/>
    <w:rsid w:val="002F636E"/>
    <w:rsid w:val="00303C89"/>
    <w:rsid w:val="00310F54"/>
    <w:rsid w:val="00316814"/>
    <w:rsid w:val="003175F6"/>
    <w:rsid w:val="00320B46"/>
    <w:rsid w:val="00322183"/>
    <w:rsid w:val="00323E20"/>
    <w:rsid w:val="0033065B"/>
    <w:rsid w:val="00336B8C"/>
    <w:rsid w:val="003372D4"/>
    <w:rsid w:val="00342A41"/>
    <w:rsid w:val="003452D4"/>
    <w:rsid w:val="003455FE"/>
    <w:rsid w:val="00345C23"/>
    <w:rsid w:val="003472D7"/>
    <w:rsid w:val="0035196C"/>
    <w:rsid w:val="00352E65"/>
    <w:rsid w:val="003556C5"/>
    <w:rsid w:val="003562E9"/>
    <w:rsid w:val="0036175B"/>
    <w:rsid w:val="00363B0E"/>
    <w:rsid w:val="00366394"/>
    <w:rsid w:val="00370F51"/>
    <w:rsid w:val="00374074"/>
    <w:rsid w:val="00374687"/>
    <w:rsid w:val="00375C0F"/>
    <w:rsid w:val="00381EE9"/>
    <w:rsid w:val="00383DDE"/>
    <w:rsid w:val="00384017"/>
    <w:rsid w:val="00384E84"/>
    <w:rsid w:val="003866B1"/>
    <w:rsid w:val="00392FEB"/>
    <w:rsid w:val="003971CD"/>
    <w:rsid w:val="003A5629"/>
    <w:rsid w:val="003A6676"/>
    <w:rsid w:val="003A72EC"/>
    <w:rsid w:val="003A767F"/>
    <w:rsid w:val="003B2870"/>
    <w:rsid w:val="003B3959"/>
    <w:rsid w:val="003B416D"/>
    <w:rsid w:val="003B4453"/>
    <w:rsid w:val="003B4563"/>
    <w:rsid w:val="003B7044"/>
    <w:rsid w:val="003B78F3"/>
    <w:rsid w:val="003C3B98"/>
    <w:rsid w:val="003C5938"/>
    <w:rsid w:val="003C7195"/>
    <w:rsid w:val="003D0134"/>
    <w:rsid w:val="003D0E8C"/>
    <w:rsid w:val="003D2164"/>
    <w:rsid w:val="003D2841"/>
    <w:rsid w:val="003D57C0"/>
    <w:rsid w:val="003E0E56"/>
    <w:rsid w:val="003E1C84"/>
    <w:rsid w:val="003E2A34"/>
    <w:rsid w:val="003E2DFC"/>
    <w:rsid w:val="003E57C5"/>
    <w:rsid w:val="004002D6"/>
    <w:rsid w:val="0040632B"/>
    <w:rsid w:val="00407ABF"/>
    <w:rsid w:val="0041124B"/>
    <w:rsid w:val="0041143C"/>
    <w:rsid w:val="00413BE5"/>
    <w:rsid w:val="004161F2"/>
    <w:rsid w:val="0042120F"/>
    <w:rsid w:val="00423BD1"/>
    <w:rsid w:val="00427C7A"/>
    <w:rsid w:val="0043025E"/>
    <w:rsid w:val="00434195"/>
    <w:rsid w:val="00434C91"/>
    <w:rsid w:val="0043556C"/>
    <w:rsid w:val="00435D83"/>
    <w:rsid w:val="00441A93"/>
    <w:rsid w:val="004425DA"/>
    <w:rsid w:val="00444E83"/>
    <w:rsid w:val="0044520C"/>
    <w:rsid w:val="00445827"/>
    <w:rsid w:val="00450C85"/>
    <w:rsid w:val="00451947"/>
    <w:rsid w:val="00454D09"/>
    <w:rsid w:val="0045595B"/>
    <w:rsid w:val="004564D3"/>
    <w:rsid w:val="00465E9C"/>
    <w:rsid w:val="0046659B"/>
    <w:rsid w:val="004706A5"/>
    <w:rsid w:val="00473A25"/>
    <w:rsid w:val="004802D3"/>
    <w:rsid w:val="00483E58"/>
    <w:rsid w:val="0048774C"/>
    <w:rsid w:val="00487B8E"/>
    <w:rsid w:val="00491726"/>
    <w:rsid w:val="004918DC"/>
    <w:rsid w:val="0049471E"/>
    <w:rsid w:val="0049479B"/>
    <w:rsid w:val="00496982"/>
    <w:rsid w:val="00497066"/>
    <w:rsid w:val="004A0906"/>
    <w:rsid w:val="004A1174"/>
    <w:rsid w:val="004A3749"/>
    <w:rsid w:val="004A458A"/>
    <w:rsid w:val="004A4988"/>
    <w:rsid w:val="004A726E"/>
    <w:rsid w:val="004A7F24"/>
    <w:rsid w:val="004B1030"/>
    <w:rsid w:val="004B1594"/>
    <w:rsid w:val="004B28E7"/>
    <w:rsid w:val="004B47A2"/>
    <w:rsid w:val="004B58CA"/>
    <w:rsid w:val="004B7A26"/>
    <w:rsid w:val="004C157C"/>
    <w:rsid w:val="004C7D9C"/>
    <w:rsid w:val="004D2344"/>
    <w:rsid w:val="004E4364"/>
    <w:rsid w:val="004F5835"/>
    <w:rsid w:val="004F6350"/>
    <w:rsid w:val="004F72D4"/>
    <w:rsid w:val="004F7348"/>
    <w:rsid w:val="0050598C"/>
    <w:rsid w:val="005075E5"/>
    <w:rsid w:val="00507A63"/>
    <w:rsid w:val="0051047A"/>
    <w:rsid w:val="00513050"/>
    <w:rsid w:val="00515F08"/>
    <w:rsid w:val="00517194"/>
    <w:rsid w:val="00522EB0"/>
    <w:rsid w:val="005232FA"/>
    <w:rsid w:val="00524989"/>
    <w:rsid w:val="00527D73"/>
    <w:rsid w:val="0053002C"/>
    <w:rsid w:val="00534839"/>
    <w:rsid w:val="00536345"/>
    <w:rsid w:val="005378BA"/>
    <w:rsid w:val="00541E17"/>
    <w:rsid w:val="0054316A"/>
    <w:rsid w:val="00543C55"/>
    <w:rsid w:val="00543FAC"/>
    <w:rsid w:val="0054484A"/>
    <w:rsid w:val="00544DFD"/>
    <w:rsid w:val="0055033D"/>
    <w:rsid w:val="00550651"/>
    <w:rsid w:val="005512ED"/>
    <w:rsid w:val="0055134B"/>
    <w:rsid w:val="00551976"/>
    <w:rsid w:val="00551F65"/>
    <w:rsid w:val="00557D67"/>
    <w:rsid w:val="005629B0"/>
    <w:rsid w:val="00562D0A"/>
    <w:rsid w:val="00565246"/>
    <w:rsid w:val="00567F67"/>
    <w:rsid w:val="005717A4"/>
    <w:rsid w:val="00571B70"/>
    <w:rsid w:val="00574859"/>
    <w:rsid w:val="00575E41"/>
    <w:rsid w:val="00582CB6"/>
    <w:rsid w:val="0058765B"/>
    <w:rsid w:val="005876CB"/>
    <w:rsid w:val="005A23E4"/>
    <w:rsid w:val="005A4562"/>
    <w:rsid w:val="005A649C"/>
    <w:rsid w:val="005C0E1B"/>
    <w:rsid w:val="005C5AD0"/>
    <w:rsid w:val="005C66CB"/>
    <w:rsid w:val="005D41F5"/>
    <w:rsid w:val="005D7F9B"/>
    <w:rsid w:val="005E29A9"/>
    <w:rsid w:val="005E3365"/>
    <w:rsid w:val="005E36DA"/>
    <w:rsid w:val="005E4ED9"/>
    <w:rsid w:val="005E7189"/>
    <w:rsid w:val="005F23E3"/>
    <w:rsid w:val="005F346A"/>
    <w:rsid w:val="005F3797"/>
    <w:rsid w:val="005F42F4"/>
    <w:rsid w:val="005F7612"/>
    <w:rsid w:val="00600B72"/>
    <w:rsid w:val="00611029"/>
    <w:rsid w:val="006166B4"/>
    <w:rsid w:val="00617B94"/>
    <w:rsid w:val="00621B5A"/>
    <w:rsid w:val="006225A4"/>
    <w:rsid w:val="0062360C"/>
    <w:rsid w:val="00625760"/>
    <w:rsid w:val="00627D02"/>
    <w:rsid w:val="00630914"/>
    <w:rsid w:val="0063233E"/>
    <w:rsid w:val="006353CF"/>
    <w:rsid w:val="0063731A"/>
    <w:rsid w:val="00637BC7"/>
    <w:rsid w:val="006436CE"/>
    <w:rsid w:val="0064433F"/>
    <w:rsid w:val="0064473D"/>
    <w:rsid w:val="00645052"/>
    <w:rsid w:val="006452A4"/>
    <w:rsid w:val="0064608F"/>
    <w:rsid w:val="006467D0"/>
    <w:rsid w:val="00647746"/>
    <w:rsid w:val="006510BD"/>
    <w:rsid w:val="006522B0"/>
    <w:rsid w:val="00652747"/>
    <w:rsid w:val="00656232"/>
    <w:rsid w:val="006609CD"/>
    <w:rsid w:val="00665601"/>
    <w:rsid w:val="00665938"/>
    <w:rsid w:val="00671481"/>
    <w:rsid w:val="00671D50"/>
    <w:rsid w:val="00673985"/>
    <w:rsid w:val="00676E12"/>
    <w:rsid w:val="0067767E"/>
    <w:rsid w:val="00683B73"/>
    <w:rsid w:val="006860C8"/>
    <w:rsid w:val="006906CD"/>
    <w:rsid w:val="00691CA5"/>
    <w:rsid w:val="00693014"/>
    <w:rsid w:val="006930C0"/>
    <w:rsid w:val="00693315"/>
    <w:rsid w:val="00695BB5"/>
    <w:rsid w:val="00695C9B"/>
    <w:rsid w:val="006978E4"/>
    <w:rsid w:val="006A0ECF"/>
    <w:rsid w:val="006A117E"/>
    <w:rsid w:val="006A2ACF"/>
    <w:rsid w:val="006A34A1"/>
    <w:rsid w:val="006A40F1"/>
    <w:rsid w:val="006A4911"/>
    <w:rsid w:val="006A7883"/>
    <w:rsid w:val="006B1265"/>
    <w:rsid w:val="006B2608"/>
    <w:rsid w:val="006B4C2E"/>
    <w:rsid w:val="006B7C48"/>
    <w:rsid w:val="006C0BEB"/>
    <w:rsid w:val="006C19BA"/>
    <w:rsid w:val="006C27FE"/>
    <w:rsid w:val="006C2EEB"/>
    <w:rsid w:val="006C2FA2"/>
    <w:rsid w:val="006C3B07"/>
    <w:rsid w:val="006C48DA"/>
    <w:rsid w:val="006C61E4"/>
    <w:rsid w:val="006C6F7D"/>
    <w:rsid w:val="006C73A8"/>
    <w:rsid w:val="006D02F3"/>
    <w:rsid w:val="006D3A3D"/>
    <w:rsid w:val="006E7A39"/>
    <w:rsid w:val="006F1729"/>
    <w:rsid w:val="006F1CF4"/>
    <w:rsid w:val="006F3E34"/>
    <w:rsid w:val="006F5843"/>
    <w:rsid w:val="006F5BB6"/>
    <w:rsid w:val="006F61A9"/>
    <w:rsid w:val="00701022"/>
    <w:rsid w:val="00702799"/>
    <w:rsid w:val="00704FF5"/>
    <w:rsid w:val="00707CB1"/>
    <w:rsid w:val="00714DC7"/>
    <w:rsid w:val="00724A04"/>
    <w:rsid w:val="0072583E"/>
    <w:rsid w:val="00725A19"/>
    <w:rsid w:val="00726E82"/>
    <w:rsid w:val="00726FBE"/>
    <w:rsid w:val="00731638"/>
    <w:rsid w:val="00734EE4"/>
    <w:rsid w:val="00736387"/>
    <w:rsid w:val="007404E3"/>
    <w:rsid w:val="007424C4"/>
    <w:rsid w:val="00744DD4"/>
    <w:rsid w:val="00746430"/>
    <w:rsid w:val="007469A3"/>
    <w:rsid w:val="007541A5"/>
    <w:rsid w:val="007553ED"/>
    <w:rsid w:val="00755717"/>
    <w:rsid w:val="00757039"/>
    <w:rsid w:val="00761DE1"/>
    <w:rsid w:val="00767E53"/>
    <w:rsid w:val="00767E70"/>
    <w:rsid w:val="00770CCB"/>
    <w:rsid w:val="00772451"/>
    <w:rsid w:val="0077641E"/>
    <w:rsid w:val="007764C5"/>
    <w:rsid w:val="00781F7F"/>
    <w:rsid w:val="00782592"/>
    <w:rsid w:val="00784F78"/>
    <w:rsid w:val="00786512"/>
    <w:rsid w:val="007936FB"/>
    <w:rsid w:val="00796AE2"/>
    <w:rsid w:val="007970D8"/>
    <w:rsid w:val="007974F0"/>
    <w:rsid w:val="007A0857"/>
    <w:rsid w:val="007A15E9"/>
    <w:rsid w:val="007A1FDA"/>
    <w:rsid w:val="007B202F"/>
    <w:rsid w:val="007B3152"/>
    <w:rsid w:val="007B3687"/>
    <w:rsid w:val="007B37A5"/>
    <w:rsid w:val="007B39F6"/>
    <w:rsid w:val="007B7A82"/>
    <w:rsid w:val="007C1757"/>
    <w:rsid w:val="007C2D37"/>
    <w:rsid w:val="007C327A"/>
    <w:rsid w:val="007C36AF"/>
    <w:rsid w:val="007D0B62"/>
    <w:rsid w:val="007D5282"/>
    <w:rsid w:val="007D5848"/>
    <w:rsid w:val="007D61C4"/>
    <w:rsid w:val="007D7232"/>
    <w:rsid w:val="007E49ED"/>
    <w:rsid w:val="007E4B03"/>
    <w:rsid w:val="007E6495"/>
    <w:rsid w:val="007E6CC0"/>
    <w:rsid w:val="007E77C4"/>
    <w:rsid w:val="007F1EAE"/>
    <w:rsid w:val="007F6F99"/>
    <w:rsid w:val="007F7DEF"/>
    <w:rsid w:val="0080345A"/>
    <w:rsid w:val="00807AE3"/>
    <w:rsid w:val="00807EBB"/>
    <w:rsid w:val="00811ED2"/>
    <w:rsid w:val="0081372F"/>
    <w:rsid w:val="00817964"/>
    <w:rsid w:val="0082259C"/>
    <w:rsid w:val="00824995"/>
    <w:rsid w:val="00824E62"/>
    <w:rsid w:val="00827094"/>
    <w:rsid w:val="00827A5E"/>
    <w:rsid w:val="00827FCC"/>
    <w:rsid w:val="00833D89"/>
    <w:rsid w:val="00836974"/>
    <w:rsid w:val="00837FBF"/>
    <w:rsid w:val="00844CA1"/>
    <w:rsid w:val="00845B53"/>
    <w:rsid w:val="008606C2"/>
    <w:rsid w:val="00863DFA"/>
    <w:rsid w:val="00864705"/>
    <w:rsid w:val="00864AA1"/>
    <w:rsid w:val="008705A3"/>
    <w:rsid w:val="0087098D"/>
    <w:rsid w:val="00874BC0"/>
    <w:rsid w:val="0087571E"/>
    <w:rsid w:val="00875912"/>
    <w:rsid w:val="008861CD"/>
    <w:rsid w:val="00887BD5"/>
    <w:rsid w:val="00893040"/>
    <w:rsid w:val="0089428B"/>
    <w:rsid w:val="008A5349"/>
    <w:rsid w:val="008A5984"/>
    <w:rsid w:val="008A5AAB"/>
    <w:rsid w:val="008B0484"/>
    <w:rsid w:val="008B330B"/>
    <w:rsid w:val="008C11F6"/>
    <w:rsid w:val="008C3E7F"/>
    <w:rsid w:val="008C3EA7"/>
    <w:rsid w:val="008C401C"/>
    <w:rsid w:val="008C5001"/>
    <w:rsid w:val="008C55EB"/>
    <w:rsid w:val="008D462B"/>
    <w:rsid w:val="008D65E4"/>
    <w:rsid w:val="008D6EEC"/>
    <w:rsid w:val="008D7026"/>
    <w:rsid w:val="008D73B8"/>
    <w:rsid w:val="008D743B"/>
    <w:rsid w:val="008E08FD"/>
    <w:rsid w:val="008E295E"/>
    <w:rsid w:val="008E76D7"/>
    <w:rsid w:val="008F352E"/>
    <w:rsid w:val="008F7366"/>
    <w:rsid w:val="008F7B11"/>
    <w:rsid w:val="00902208"/>
    <w:rsid w:val="0090460A"/>
    <w:rsid w:val="00907D06"/>
    <w:rsid w:val="0091468F"/>
    <w:rsid w:val="009148D7"/>
    <w:rsid w:val="00920596"/>
    <w:rsid w:val="009234A9"/>
    <w:rsid w:val="009268D3"/>
    <w:rsid w:val="00926FDE"/>
    <w:rsid w:val="0093256E"/>
    <w:rsid w:val="00933179"/>
    <w:rsid w:val="009372AF"/>
    <w:rsid w:val="00937D94"/>
    <w:rsid w:val="00943590"/>
    <w:rsid w:val="00951942"/>
    <w:rsid w:val="00951C3B"/>
    <w:rsid w:val="00953F2E"/>
    <w:rsid w:val="00955CC2"/>
    <w:rsid w:val="00961E89"/>
    <w:rsid w:val="00974A4A"/>
    <w:rsid w:val="00977F6A"/>
    <w:rsid w:val="00980884"/>
    <w:rsid w:val="009808BF"/>
    <w:rsid w:val="009813AF"/>
    <w:rsid w:val="00982375"/>
    <w:rsid w:val="00983161"/>
    <w:rsid w:val="00985332"/>
    <w:rsid w:val="00985A1C"/>
    <w:rsid w:val="009865CB"/>
    <w:rsid w:val="009922DB"/>
    <w:rsid w:val="009A0AEE"/>
    <w:rsid w:val="009A1DF1"/>
    <w:rsid w:val="009A4A0F"/>
    <w:rsid w:val="009B6512"/>
    <w:rsid w:val="009C0AEC"/>
    <w:rsid w:val="009C4D2E"/>
    <w:rsid w:val="009C64B3"/>
    <w:rsid w:val="009C75CF"/>
    <w:rsid w:val="009D311F"/>
    <w:rsid w:val="009D5637"/>
    <w:rsid w:val="009D7DCE"/>
    <w:rsid w:val="009E00BE"/>
    <w:rsid w:val="009E1920"/>
    <w:rsid w:val="009E4CA1"/>
    <w:rsid w:val="009E5735"/>
    <w:rsid w:val="009E7E2B"/>
    <w:rsid w:val="009F0970"/>
    <w:rsid w:val="00A06760"/>
    <w:rsid w:val="00A075D3"/>
    <w:rsid w:val="00A10670"/>
    <w:rsid w:val="00A114E6"/>
    <w:rsid w:val="00A12B1F"/>
    <w:rsid w:val="00A146B6"/>
    <w:rsid w:val="00A2198D"/>
    <w:rsid w:val="00A255E0"/>
    <w:rsid w:val="00A301A4"/>
    <w:rsid w:val="00A30775"/>
    <w:rsid w:val="00A3295D"/>
    <w:rsid w:val="00A34369"/>
    <w:rsid w:val="00A35F1D"/>
    <w:rsid w:val="00A36547"/>
    <w:rsid w:val="00A41CE2"/>
    <w:rsid w:val="00A4219E"/>
    <w:rsid w:val="00A43ECC"/>
    <w:rsid w:val="00A465B8"/>
    <w:rsid w:val="00A53735"/>
    <w:rsid w:val="00A613ED"/>
    <w:rsid w:val="00A63F8D"/>
    <w:rsid w:val="00A648AC"/>
    <w:rsid w:val="00A6786D"/>
    <w:rsid w:val="00A70357"/>
    <w:rsid w:val="00A707D2"/>
    <w:rsid w:val="00A70BEB"/>
    <w:rsid w:val="00A762E9"/>
    <w:rsid w:val="00A832B2"/>
    <w:rsid w:val="00A86A19"/>
    <w:rsid w:val="00A871F1"/>
    <w:rsid w:val="00A932C8"/>
    <w:rsid w:val="00A944A8"/>
    <w:rsid w:val="00AA4692"/>
    <w:rsid w:val="00AB16CC"/>
    <w:rsid w:val="00AB6E0A"/>
    <w:rsid w:val="00AC083B"/>
    <w:rsid w:val="00AC3CFB"/>
    <w:rsid w:val="00AC4573"/>
    <w:rsid w:val="00AC473D"/>
    <w:rsid w:val="00AC66AE"/>
    <w:rsid w:val="00AD0271"/>
    <w:rsid w:val="00AD0618"/>
    <w:rsid w:val="00AD0C15"/>
    <w:rsid w:val="00AD3A8B"/>
    <w:rsid w:val="00AD5891"/>
    <w:rsid w:val="00AD7E86"/>
    <w:rsid w:val="00AE4958"/>
    <w:rsid w:val="00AE695D"/>
    <w:rsid w:val="00AF0D9C"/>
    <w:rsid w:val="00AF78C4"/>
    <w:rsid w:val="00B04065"/>
    <w:rsid w:val="00B05540"/>
    <w:rsid w:val="00B07560"/>
    <w:rsid w:val="00B1129A"/>
    <w:rsid w:val="00B1200E"/>
    <w:rsid w:val="00B15872"/>
    <w:rsid w:val="00B17000"/>
    <w:rsid w:val="00B17710"/>
    <w:rsid w:val="00B21537"/>
    <w:rsid w:val="00B21667"/>
    <w:rsid w:val="00B2385B"/>
    <w:rsid w:val="00B3147D"/>
    <w:rsid w:val="00B32C7C"/>
    <w:rsid w:val="00B5079B"/>
    <w:rsid w:val="00B52AF1"/>
    <w:rsid w:val="00B606B9"/>
    <w:rsid w:val="00B62DC2"/>
    <w:rsid w:val="00B63EE0"/>
    <w:rsid w:val="00B67302"/>
    <w:rsid w:val="00B71CAD"/>
    <w:rsid w:val="00B81D54"/>
    <w:rsid w:val="00B8314E"/>
    <w:rsid w:val="00B8641E"/>
    <w:rsid w:val="00B87716"/>
    <w:rsid w:val="00B902EA"/>
    <w:rsid w:val="00B94DF8"/>
    <w:rsid w:val="00B96E02"/>
    <w:rsid w:val="00B972AF"/>
    <w:rsid w:val="00B97BEC"/>
    <w:rsid w:val="00BA33AE"/>
    <w:rsid w:val="00BA653D"/>
    <w:rsid w:val="00BA7F7D"/>
    <w:rsid w:val="00BB6BC8"/>
    <w:rsid w:val="00BB6F8C"/>
    <w:rsid w:val="00BB74E5"/>
    <w:rsid w:val="00BC0172"/>
    <w:rsid w:val="00BC1FB9"/>
    <w:rsid w:val="00BC2ED9"/>
    <w:rsid w:val="00BC38B0"/>
    <w:rsid w:val="00BC3A9C"/>
    <w:rsid w:val="00BC50C2"/>
    <w:rsid w:val="00BC6E86"/>
    <w:rsid w:val="00BD55F7"/>
    <w:rsid w:val="00BD737D"/>
    <w:rsid w:val="00BD7F7D"/>
    <w:rsid w:val="00BE16C1"/>
    <w:rsid w:val="00BE47B8"/>
    <w:rsid w:val="00BE4BA4"/>
    <w:rsid w:val="00BE59FB"/>
    <w:rsid w:val="00BE6C2A"/>
    <w:rsid w:val="00BF6125"/>
    <w:rsid w:val="00BF6187"/>
    <w:rsid w:val="00BF780B"/>
    <w:rsid w:val="00C01C98"/>
    <w:rsid w:val="00C04DE1"/>
    <w:rsid w:val="00C060CB"/>
    <w:rsid w:val="00C07366"/>
    <w:rsid w:val="00C10D88"/>
    <w:rsid w:val="00C11C41"/>
    <w:rsid w:val="00C17363"/>
    <w:rsid w:val="00C1748C"/>
    <w:rsid w:val="00C20673"/>
    <w:rsid w:val="00C21B3C"/>
    <w:rsid w:val="00C21B9C"/>
    <w:rsid w:val="00C2291D"/>
    <w:rsid w:val="00C37770"/>
    <w:rsid w:val="00C427AE"/>
    <w:rsid w:val="00C4545B"/>
    <w:rsid w:val="00C45CA9"/>
    <w:rsid w:val="00C52797"/>
    <w:rsid w:val="00C54177"/>
    <w:rsid w:val="00C54E3F"/>
    <w:rsid w:val="00C5577F"/>
    <w:rsid w:val="00C5586A"/>
    <w:rsid w:val="00C61B84"/>
    <w:rsid w:val="00C6295E"/>
    <w:rsid w:val="00C62B1B"/>
    <w:rsid w:val="00C63FF5"/>
    <w:rsid w:val="00C745C3"/>
    <w:rsid w:val="00C7789D"/>
    <w:rsid w:val="00C8297A"/>
    <w:rsid w:val="00C87BE0"/>
    <w:rsid w:val="00C91211"/>
    <w:rsid w:val="00C93C44"/>
    <w:rsid w:val="00C942A1"/>
    <w:rsid w:val="00C968B3"/>
    <w:rsid w:val="00C970B6"/>
    <w:rsid w:val="00CA2557"/>
    <w:rsid w:val="00CA2AFD"/>
    <w:rsid w:val="00CA484E"/>
    <w:rsid w:val="00CA7167"/>
    <w:rsid w:val="00CB115F"/>
    <w:rsid w:val="00CB1E64"/>
    <w:rsid w:val="00CB2D3D"/>
    <w:rsid w:val="00CB6CE5"/>
    <w:rsid w:val="00CC0B7F"/>
    <w:rsid w:val="00CC221C"/>
    <w:rsid w:val="00CC2990"/>
    <w:rsid w:val="00CC5D1D"/>
    <w:rsid w:val="00CD1688"/>
    <w:rsid w:val="00CD45C2"/>
    <w:rsid w:val="00CD5A59"/>
    <w:rsid w:val="00CE1578"/>
    <w:rsid w:val="00CE1699"/>
    <w:rsid w:val="00CE3978"/>
    <w:rsid w:val="00CE5F20"/>
    <w:rsid w:val="00CF2016"/>
    <w:rsid w:val="00CF4556"/>
    <w:rsid w:val="00CF793A"/>
    <w:rsid w:val="00D009C3"/>
    <w:rsid w:val="00D01486"/>
    <w:rsid w:val="00D12DC2"/>
    <w:rsid w:val="00D14B6E"/>
    <w:rsid w:val="00D206C6"/>
    <w:rsid w:val="00D207A0"/>
    <w:rsid w:val="00D215CC"/>
    <w:rsid w:val="00D22B4F"/>
    <w:rsid w:val="00D22E46"/>
    <w:rsid w:val="00D23212"/>
    <w:rsid w:val="00D255F9"/>
    <w:rsid w:val="00D2627D"/>
    <w:rsid w:val="00D302BA"/>
    <w:rsid w:val="00D30C87"/>
    <w:rsid w:val="00D325F5"/>
    <w:rsid w:val="00D32D49"/>
    <w:rsid w:val="00D43AB1"/>
    <w:rsid w:val="00D47F23"/>
    <w:rsid w:val="00D47FEA"/>
    <w:rsid w:val="00D5165A"/>
    <w:rsid w:val="00D52048"/>
    <w:rsid w:val="00D534E8"/>
    <w:rsid w:val="00D56ED5"/>
    <w:rsid w:val="00D5759E"/>
    <w:rsid w:val="00D6391B"/>
    <w:rsid w:val="00D651FF"/>
    <w:rsid w:val="00D70101"/>
    <w:rsid w:val="00D71625"/>
    <w:rsid w:val="00D72808"/>
    <w:rsid w:val="00D77C60"/>
    <w:rsid w:val="00D80F97"/>
    <w:rsid w:val="00D860A9"/>
    <w:rsid w:val="00D87A74"/>
    <w:rsid w:val="00D90515"/>
    <w:rsid w:val="00D9503F"/>
    <w:rsid w:val="00D9657A"/>
    <w:rsid w:val="00DA5D29"/>
    <w:rsid w:val="00DA62AF"/>
    <w:rsid w:val="00DB1E52"/>
    <w:rsid w:val="00DB325F"/>
    <w:rsid w:val="00DB40F3"/>
    <w:rsid w:val="00DB45DB"/>
    <w:rsid w:val="00DB609C"/>
    <w:rsid w:val="00DC5A2E"/>
    <w:rsid w:val="00DC7315"/>
    <w:rsid w:val="00DD018A"/>
    <w:rsid w:val="00DD0860"/>
    <w:rsid w:val="00DD4481"/>
    <w:rsid w:val="00DD484A"/>
    <w:rsid w:val="00DD5161"/>
    <w:rsid w:val="00DD65AA"/>
    <w:rsid w:val="00DE1BCB"/>
    <w:rsid w:val="00DE2380"/>
    <w:rsid w:val="00DE27BC"/>
    <w:rsid w:val="00DE2A49"/>
    <w:rsid w:val="00DF18A2"/>
    <w:rsid w:val="00DF5509"/>
    <w:rsid w:val="00DF7330"/>
    <w:rsid w:val="00E02AB1"/>
    <w:rsid w:val="00E061ED"/>
    <w:rsid w:val="00E1167C"/>
    <w:rsid w:val="00E13E8C"/>
    <w:rsid w:val="00E151CD"/>
    <w:rsid w:val="00E15BF7"/>
    <w:rsid w:val="00E1685A"/>
    <w:rsid w:val="00E168A1"/>
    <w:rsid w:val="00E25B8D"/>
    <w:rsid w:val="00E30136"/>
    <w:rsid w:val="00E3276E"/>
    <w:rsid w:val="00E32A67"/>
    <w:rsid w:val="00E3755D"/>
    <w:rsid w:val="00E4146A"/>
    <w:rsid w:val="00E453FF"/>
    <w:rsid w:val="00E52866"/>
    <w:rsid w:val="00E53201"/>
    <w:rsid w:val="00E5369F"/>
    <w:rsid w:val="00E56A74"/>
    <w:rsid w:val="00E572E7"/>
    <w:rsid w:val="00E64929"/>
    <w:rsid w:val="00E660A6"/>
    <w:rsid w:val="00E67EBD"/>
    <w:rsid w:val="00E70A30"/>
    <w:rsid w:val="00E70AB5"/>
    <w:rsid w:val="00E722C5"/>
    <w:rsid w:val="00E72446"/>
    <w:rsid w:val="00E73144"/>
    <w:rsid w:val="00E7322D"/>
    <w:rsid w:val="00E744F1"/>
    <w:rsid w:val="00E75652"/>
    <w:rsid w:val="00E776FB"/>
    <w:rsid w:val="00E8281B"/>
    <w:rsid w:val="00E83323"/>
    <w:rsid w:val="00E9030C"/>
    <w:rsid w:val="00E93853"/>
    <w:rsid w:val="00E93980"/>
    <w:rsid w:val="00E95BE5"/>
    <w:rsid w:val="00E97756"/>
    <w:rsid w:val="00EA213F"/>
    <w:rsid w:val="00EA3D7D"/>
    <w:rsid w:val="00EA6D9C"/>
    <w:rsid w:val="00EB0ACD"/>
    <w:rsid w:val="00EB23FA"/>
    <w:rsid w:val="00EB35B4"/>
    <w:rsid w:val="00EB4DB9"/>
    <w:rsid w:val="00EB7724"/>
    <w:rsid w:val="00EC2CB6"/>
    <w:rsid w:val="00EC7335"/>
    <w:rsid w:val="00ED08B0"/>
    <w:rsid w:val="00ED0EB9"/>
    <w:rsid w:val="00ED5AA9"/>
    <w:rsid w:val="00ED6012"/>
    <w:rsid w:val="00ED70C9"/>
    <w:rsid w:val="00EE400A"/>
    <w:rsid w:val="00EE5BA5"/>
    <w:rsid w:val="00EE6ECF"/>
    <w:rsid w:val="00EF6072"/>
    <w:rsid w:val="00F02AB1"/>
    <w:rsid w:val="00F02CB4"/>
    <w:rsid w:val="00F03B01"/>
    <w:rsid w:val="00F0497C"/>
    <w:rsid w:val="00F05032"/>
    <w:rsid w:val="00F05BB8"/>
    <w:rsid w:val="00F06736"/>
    <w:rsid w:val="00F073BE"/>
    <w:rsid w:val="00F10F10"/>
    <w:rsid w:val="00F142D9"/>
    <w:rsid w:val="00F2018A"/>
    <w:rsid w:val="00F22DA0"/>
    <w:rsid w:val="00F25803"/>
    <w:rsid w:val="00F26224"/>
    <w:rsid w:val="00F26A3F"/>
    <w:rsid w:val="00F323D9"/>
    <w:rsid w:val="00F34736"/>
    <w:rsid w:val="00F35EDA"/>
    <w:rsid w:val="00F40663"/>
    <w:rsid w:val="00F418E5"/>
    <w:rsid w:val="00F4377E"/>
    <w:rsid w:val="00F50A80"/>
    <w:rsid w:val="00F5172A"/>
    <w:rsid w:val="00F53A10"/>
    <w:rsid w:val="00F5615D"/>
    <w:rsid w:val="00F56C19"/>
    <w:rsid w:val="00F63225"/>
    <w:rsid w:val="00F73EC6"/>
    <w:rsid w:val="00F775AE"/>
    <w:rsid w:val="00F77DA3"/>
    <w:rsid w:val="00F8148A"/>
    <w:rsid w:val="00F85F12"/>
    <w:rsid w:val="00F86E29"/>
    <w:rsid w:val="00F907F3"/>
    <w:rsid w:val="00F90C4A"/>
    <w:rsid w:val="00F93CBC"/>
    <w:rsid w:val="00F963FD"/>
    <w:rsid w:val="00FA034C"/>
    <w:rsid w:val="00FA2305"/>
    <w:rsid w:val="00FA4406"/>
    <w:rsid w:val="00FB5053"/>
    <w:rsid w:val="00FC137C"/>
    <w:rsid w:val="00FC2BD2"/>
    <w:rsid w:val="00FC5092"/>
    <w:rsid w:val="00FC71DF"/>
    <w:rsid w:val="00FD1CC9"/>
    <w:rsid w:val="00FD2B82"/>
    <w:rsid w:val="00FD7AA2"/>
    <w:rsid w:val="00FE467D"/>
    <w:rsid w:val="00FE4B9F"/>
    <w:rsid w:val="00FE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colormru v:ext="edit" colors="#ccecff"/>
    </o:shapedefaults>
    <o:shapelayout v:ext="edit">
      <o:idmap v:ext="edit" data="1"/>
    </o:shapelayout>
  </w:shapeDefaults>
  <w:decimalSymbol w:val="."/>
  <w:listSeparator w:val=","/>
  <w15:docId w15:val="{3EDF67B4-7E37-4382-BB32-B7059491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C2"/>
    <w:pPr>
      <w:jc w:val="both"/>
    </w:pPr>
    <w:rPr>
      <w:kern w:val="22"/>
      <w:sz w:val="22"/>
      <w:szCs w:val="24"/>
    </w:rPr>
  </w:style>
  <w:style w:type="paragraph" w:styleId="Heading1">
    <w:name w:val="heading 1"/>
    <w:basedOn w:val="Normal"/>
    <w:next w:val="Normal"/>
    <w:qFormat/>
    <w:rsid w:val="00B62DC2"/>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B62DC2"/>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B62DC2"/>
    <w:pPr>
      <w:keepNext/>
      <w:numPr>
        <w:ilvl w:val="2"/>
        <w:numId w:val="1"/>
      </w:numPr>
      <w:tabs>
        <w:tab w:val="clear" w:pos="1494"/>
        <w:tab w:val="num" w:pos="864"/>
      </w:tabs>
      <w:spacing w:before="180" w:after="60"/>
      <w:ind w:left="864"/>
      <w:outlineLvl w:val="2"/>
    </w:pPr>
    <w:rPr>
      <w:rFonts w:ascii="Arial" w:hAnsi="Arial" w:cs="Arial"/>
      <w:b/>
      <w:bCs/>
      <w:i/>
      <w:color w:val="000080"/>
    </w:rPr>
  </w:style>
  <w:style w:type="paragraph" w:styleId="Heading4">
    <w:name w:val="heading 4"/>
    <w:basedOn w:val="Normal"/>
    <w:next w:val="Normal"/>
    <w:qFormat/>
    <w:rsid w:val="00B62DC2"/>
    <w:pPr>
      <w:keepNext/>
      <w:numPr>
        <w:ilvl w:val="3"/>
        <w:numId w:val="1"/>
      </w:numPr>
      <w:spacing w:before="120" w:after="60"/>
      <w:outlineLvl w:val="3"/>
    </w:pPr>
    <w:rPr>
      <w:b/>
      <w:bCs/>
      <w:kern w:val="0"/>
      <w:szCs w:val="28"/>
    </w:rPr>
  </w:style>
  <w:style w:type="paragraph" w:styleId="Heading5">
    <w:name w:val="heading 5"/>
    <w:basedOn w:val="Normal"/>
    <w:next w:val="Normal"/>
    <w:qFormat/>
    <w:rsid w:val="00B62DC2"/>
    <w:pPr>
      <w:numPr>
        <w:ilvl w:val="4"/>
        <w:numId w:val="1"/>
      </w:numPr>
      <w:spacing w:before="240" w:after="60"/>
      <w:outlineLvl w:val="4"/>
    </w:pPr>
    <w:rPr>
      <w:b/>
      <w:bCs/>
      <w:i/>
      <w:iCs/>
      <w:sz w:val="26"/>
      <w:szCs w:val="26"/>
    </w:rPr>
  </w:style>
  <w:style w:type="paragraph" w:styleId="Heading6">
    <w:name w:val="heading 6"/>
    <w:basedOn w:val="Normal"/>
    <w:next w:val="Normal"/>
    <w:qFormat/>
    <w:rsid w:val="00B62DC2"/>
    <w:pPr>
      <w:numPr>
        <w:ilvl w:val="5"/>
        <w:numId w:val="1"/>
      </w:numPr>
      <w:spacing w:before="240" w:after="60"/>
      <w:outlineLvl w:val="5"/>
    </w:pPr>
    <w:rPr>
      <w:b/>
      <w:bCs/>
      <w:szCs w:val="22"/>
    </w:rPr>
  </w:style>
  <w:style w:type="paragraph" w:styleId="Heading7">
    <w:name w:val="heading 7"/>
    <w:basedOn w:val="Normal"/>
    <w:next w:val="Normal"/>
    <w:qFormat/>
    <w:rsid w:val="00B62DC2"/>
    <w:pPr>
      <w:numPr>
        <w:ilvl w:val="6"/>
        <w:numId w:val="1"/>
      </w:numPr>
      <w:spacing w:before="240" w:after="60"/>
      <w:outlineLvl w:val="6"/>
    </w:pPr>
  </w:style>
  <w:style w:type="paragraph" w:styleId="Heading8">
    <w:name w:val="heading 8"/>
    <w:basedOn w:val="Normal"/>
    <w:next w:val="Normal"/>
    <w:qFormat/>
    <w:rsid w:val="00B62DC2"/>
    <w:pPr>
      <w:numPr>
        <w:ilvl w:val="7"/>
        <w:numId w:val="1"/>
      </w:numPr>
      <w:spacing w:before="240" w:after="60"/>
      <w:outlineLvl w:val="7"/>
    </w:pPr>
    <w:rPr>
      <w:i/>
      <w:iCs/>
    </w:rPr>
  </w:style>
  <w:style w:type="paragraph" w:styleId="Heading9">
    <w:name w:val="heading 9"/>
    <w:basedOn w:val="Normal"/>
    <w:next w:val="Normal"/>
    <w:qFormat/>
    <w:rsid w:val="00B62DC2"/>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B62DC2"/>
    <w:pPr>
      <w:spacing w:before="120" w:after="240"/>
      <w:ind w:left="720" w:hanging="720"/>
    </w:pPr>
  </w:style>
  <w:style w:type="paragraph" w:customStyle="1" w:styleId="6pointSpacer">
    <w:name w:val="6pointSpacer"/>
    <w:basedOn w:val="Normal"/>
    <w:rPr>
      <w:sz w:val="12"/>
      <w:szCs w:val="12"/>
    </w:rPr>
  </w:style>
  <w:style w:type="paragraph" w:styleId="BodyText">
    <w:name w:val="Body Text"/>
    <w:basedOn w:val="Normal"/>
    <w:rsid w:val="00B62DC2"/>
    <w:pPr>
      <w:spacing w:after="120"/>
    </w:pPr>
  </w:style>
  <w:style w:type="paragraph" w:styleId="Caption">
    <w:name w:val="caption"/>
    <w:basedOn w:val="Normal"/>
    <w:next w:val="Normal"/>
    <w:qFormat/>
    <w:rsid w:val="00B62DC2"/>
    <w:pPr>
      <w:keepNext/>
      <w:spacing w:before="120" w:after="120"/>
    </w:pPr>
    <w:rPr>
      <w:b/>
      <w:bCs/>
      <w:szCs w:val="20"/>
    </w:rPr>
  </w:style>
  <w:style w:type="paragraph" w:customStyle="1" w:styleId="CenteredCaption">
    <w:name w:val="CenteredCaption"/>
    <w:basedOn w:val="Caption"/>
    <w:rsid w:val="00B62DC2"/>
    <w:pPr>
      <w:jc w:val="center"/>
    </w:pPr>
  </w:style>
  <w:style w:type="character" w:customStyle="1" w:styleId="Emphasize">
    <w:name w:val="Emphasize"/>
    <w:basedOn w:val="DefaultParagraphFont"/>
    <w:rsid w:val="00B62DC2"/>
    <w:rPr>
      <w:b/>
      <w:color w:val="000080"/>
    </w:rPr>
  </w:style>
  <w:style w:type="paragraph" w:styleId="Header">
    <w:name w:val="header"/>
    <w:basedOn w:val="Normal"/>
    <w:pPr>
      <w:tabs>
        <w:tab w:val="center" w:pos="4320"/>
        <w:tab w:val="right" w:pos="9360"/>
      </w:tabs>
    </w:pPr>
    <w:rPr>
      <w:rFonts w:ascii="Arial" w:hAnsi="Arial"/>
      <w:sz w:val="16"/>
    </w:rPr>
  </w:style>
  <w:style w:type="character" w:customStyle="1" w:styleId="Italicize">
    <w:name w:val="Italicize"/>
    <w:rPr>
      <w:i/>
      <w:color w:val="003399"/>
    </w:rPr>
  </w:style>
  <w:style w:type="paragraph" w:customStyle="1" w:styleId="Left1">
    <w:name w:val="Left:1"/>
    <w:basedOn w:val="Normal"/>
    <w:pPr>
      <w:ind w:left="504"/>
    </w:pPr>
  </w:style>
  <w:style w:type="paragraph" w:customStyle="1" w:styleId="Left2">
    <w:name w:val="Left:2"/>
    <w:basedOn w:val="Normal"/>
    <w:pPr>
      <w:ind w:left="1008"/>
    </w:pPr>
  </w:style>
  <w:style w:type="paragraph" w:customStyle="1" w:styleId="Left3">
    <w:name w:val="Left:3"/>
    <w:basedOn w:val="Normal"/>
    <w:pPr>
      <w:ind w:left="1800"/>
    </w:pPr>
  </w:style>
  <w:style w:type="paragraph" w:customStyle="1" w:styleId="Left4">
    <w:name w:val="Left:4"/>
    <w:basedOn w:val="Normal"/>
    <w:pPr>
      <w:ind w:left="2736"/>
    </w:pPr>
  </w:style>
  <w:style w:type="numbering" w:customStyle="1" w:styleId="ListBulleted">
    <w:name w:val="List Bulleted"/>
    <w:basedOn w:val="NoList"/>
    <w:rsid w:val="00B62DC2"/>
    <w:pPr>
      <w:numPr>
        <w:numId w:val="2"/>
      </w:numPr>
    </w:pPr>
  </w:style>
  <w:style w:type="numbering" w:customStyle="1" w:styleId="ListBulletedIndented">
    <w:name w:val="List Bulleted Indented"/>
    <w:basedOn w:val="NoList"/>
    <w:pPr>
      <w:numPr>
        <w:numId w:val="3"/>
      </w:numPr>
    </w:pPr>
  </w:style>
  <w:style w:type="numbering" w:customStyle="1" w:styleId="ListMultiple-choiceChar">
    <w:name w:val="List Multiple-choice Char"/>
    <w:basedOn w:val="NoList"/>
    <w:pPr>
      <w:numPr>
        <w:numId w:val="4"/>
      </w:numPr>
    </w:pPr>
  </w:style>
  <w:style w:type="numbering" w:customStyle="1" w:styleId="ListOutlineChar">
    <w:name w:val="List Outline Char"/>
    <w:pPr>
      <w:numPr>
        <w:numId w:val="5"/>
      </w:numPr>
    </w:pPr>
  </w:style>
  <w:style w:type="numbering" w:customStyle="1" w:styleId="ListOutlineNumbered">
    <w:name w:val="List Outline Numbered"/>
    <w:basedOn w:val="NoList"/>
    <w:pPr>
      <w:numPr>
        <w:numId w:val="6"/>
      </w:numPr>
    </w:pPr>
  </w:style>
  <w:style w:type="paragraph" w:styleId="Subtitle">
    <w:name w:val="Subtitle"/>
    <w:basedOn w:val="Normal"/>
    <w:qFormat/>
    <w:rsid w:val="00B62DC2"/>
    <w:pPr>
      <w:spacing w:before="120" w:after="120"/>
      <w:jc w:val="center"/>
      <w:outlineLvl w:val="1"/>
    </w:pPr>
    <w:rPr>
      <w:rFonts w:ascii="Arial" w:hAnsi="Arial" w:cs="Arial"/>
      <w:color w:val="000080"/>
    </w:rPr>
  </w:style>
  <w:style w:type="paragraph" w:customStyle="1" w:styleId="TableCentered">
    <w:name w:val="TableCentered"/>
    <w:basedOn w:val="Normal"/>
    <w:pPr>
      <w:jc w:val="center"/>
    </w:pPr>
    <w:rPr>
      <w:szCs w:val="20"/>
    </w:rPr>
  </w:style>
  <w:style w:type="paragraph" w:customStyle="1" w:styleId="TableLeftText">
    <w:name w:val="TableLeftText"/>
    <w:basedOn w:val="Normal"/>
  </w:style>
  <w:style w:type="paragraph" w:customStyle="1" w:styleId="TableRightText">
    <w:name w:val="TableRightText"/>
    <w:basedOn w:val="Normal"/>
    <w:pPr>
      <w:jc w:val="right"/>
    </w:pPr>
  </w:style>
  <w:style w:type="paragraph" w:styleId="Title">
    <w:name w:val="Title"/>
    <w:basedOn w:val="Normal"/>
    <w:qFormat/>
    <w:rsid w:val="00B62DC2"/>
    <w:pPr>
      <w:spacing w:before="240" w:after="60"/>
      <w:jc w:val="center"/>
      <w:outlineLvl w:val="0"/>
    </w:pPr>
    <w:rPr>
      <w:rFonts w:ascii="Arial" w:hAnsi="Arial" w:cs="Arial"/>
      <w:b/>
      <w:bCs/>
      <w:smallCaps/>
      <w:color w:val="000080"/>
      <w:kern w:val="28"/>
      <w:sz w:val="28"/>
      <w:szCs w:val="32"/>
    </w:rPr>
  </w:style>
  <w:style w:type="character" w:customStyle="1" w:styleId="Answer">
    <w:name w:val="Answer"/>
    <w:rPr>
      <w:b/>
      <w:i/>
      <w:u w:val="single"/>
      <w:bdr w:val="none" w:sz="0" w:space="0" w:color="auto"/>
      <w:shd w:val="clear" w:color="auto" w:fill="FFFF99"/>
    </w:rPr>
  </w:style>
  <w:style w:type="paragraph" w:customStyle="1" w:styleId="GCaptionBoldCentered">
    <w:name w:val="GCaptionBoldCentered"/>
    <w:basedOn w:val="Normal"/>
    <w:pPr>
      <w:keepNext/>
      <w:jc w:val="center"/>
    </w:pPr>
    <w:rPr>
      <w:b/>
      <w:color w:val="000099"/>
      <w:sz w:val="24"/>
    </w:rPr>
  </w:style>
  <w:style w:type="paragraph" w:styleId="Footer">
    <w:name w:val="footer"/>
    <w:basedOn w:val="Normal"/>
    <w:rsid w:val="00B62DC2"/>
    <w:pPr>
      <w:tabs>
        <w:tab w:val="center" w:pos="4320"/>
        <w:tab w:val="right" w:pos="9360"/>
      </w:tabs>
    </w:pPr>
    <w:rPr>
      <w:rFonts w:ascii="Arial" w:hAnsi="Arial"/>
      <w:sz w:val="16"/>
    </w:rPr>
  </w:style>
  <w:style w:type="character" w:styleId="PageNumber">
    <w:name w:val="page number"/>
    <w:basedOn w:val="DefaultParagraphFont"/>
  </w:style>
  <w:style w:type="paragraph" w:customStyle="1" w:styleId="CoverText">
    <w:name w:val="CoverText"/>
    <w:basedOn w:val="Normal"/>
    <w:rsid w:val="00B62DC2"/>
    <w:pPr>
      <w:jc w:val="center"/>
    </w:pPr>
  </w:style>
  <w:style w:type="paragraph" w:styleId="BodyText3">
    <w:name w:val="Body Text 3"/>
    <w:basedOn w:val="Normal"/>
    <w:rsid w:val="00B62DC2"/>
    <w:rPr>
      <w:sz w:val="18"/>
      <w:szCs w:val="16"/>
    </w:rPr>
  </w:style>
  <w:style w:type="paragraph" w:styleId="BodyTextFirstIndent">
    <w:name w:val="Body Text First Indent"/>
    <w:basedOn w:val="BodyText"/>
    <w:rsid w:val="00B62DC2"/>
    <w:pPr>
      <w:spacing w:line="480" w:lineRule="auto"/>
      <w:ind w:firstLine="432"/>
    </w:pPr>
  </w:style>
  <w:style w:type="paragraph" w:styleId="FootnoteText">
    <w:name w:val="footnote text"/>
    <w:basedOn w:val="Normal"/>
    <w:rsid w:val="00B62DC2"/>
    <w:rPr>
      <w:sz w:val="20"/>
      <w:szCs w:val="20"/>
    </w:rPr>
  </w:style>
  <w:style w:type="paragraph" w:customStyle="1" w:styleId="CenterTable">
    <w:name w:val="CenterTable"/>
    <w:basedOn w:val="Normal"/>
    <w:rsid w:val="00B62DC2"/>
    <w:pPr>
      <w:jc w:val="center"/>
    </w:pPr>
  </w:style>
  <w:style w:type="numbering" w:customStyle="1" w:styleId="StyleOutlinenumbered">
    <w:name w:val="Style Outline numbered"/>
    <w:basedOn w:val="NoList"/>
    <w:rsid w:val="00B62DC2"/>
    <w:pPr>
      <w:numPr>
        <w:numId w:val="31"/>
      </w:numPr>
    </w:pPr>
  </w:style>
  <w:style w:type="paragraph" w:customStyle="1" w:styleId="StyleLeft14">
    <w:name w:val="Style Left:  1.4&quot;"/>
    <w:basedOn w:val="Normal"/>
    <w:rsid w:val="00B62DC2"/>
    <w:pPr>
      <w:ind w:left="2016"/>
    </w:pPr>
    <w:rPr>
      <w:szCs w:val="22"/>
    </w:rPr>
  </w:style>
  <w:style w:type="paragraph" w:customStyle="1" w:styleId="StyleLeft105">
    <w:name w:val="Style Left:  1.05&quot;"/>
    <w:basedOn w:val="Normal"/>
    <w:rsid w:val="00B62DC2"/>
    <w:pPr>
      <w:ind w:left="1512"/>
    </w:pPr>
    <w:rPr>
      <w:szCs w:val="20"/>
    </w:rPr>
  </w:style>
  <w:style w:type="paragraph" w:customStyle="1" w:styleId="StyleLeft07">
    <w:name w:val="Style Left:  0.7&quot;"/>
    <w:basedOn w:val="Normal"/>
    <w:rsid w:val="00B62DC2"/>
    <w:pPr>
      <w:ind w:left="1008"/>
    </w:pPr>
    <w:rPr>
      <w:szCs w:val="20"/>
    </w:rPr>
  </w:style>
  <w:style w:type="paragraph" w:customStyle="1" w:styleId="StyleLeft035">
    <w:name w:val="Style Left:  0.35&quot;"/>
    <w:basedOn w:val="Normal"/>
    <w:rsid w:val="00B62DC2"/>
    <w:pPr>
      <w:ind w:left="504"/>
    </w:pPr>
    <w:rPr>
      <w:szCs w:val="20"/>
    </w:rPr>
  </w:style>
  <w:style w:type="paragraph" w:customStyle="1" w:styleId="Indentedlist">
    <w:name w:val="Indented list"/>
    <w:basedOn w:val="Normal"/>
    <w:rsid w:val="00B62DC2"/>
    <w:pPr>
      <w:numPr>
        <w:numId w:val="7"/>
      </w:numPr>
      <w:tabs>
        <w:tab w:val="clear" w:pos="1008"/>
        <w:tab w:val="num" w:pos="360"/>
      </w:tabs>
      <w:ind w:left="0" w:firstLine="0"/>
    </w:pPr>
    <w:rPr>
      <w:szCs w:val="22"/>
    </w:rPr>
  </w:style>
  <w:style w:type="paragraph" w:styleId="List">
    <w:name w:val="List"/>
    <w:basedOn w:val="Normal"/>
    <w:rsid w:val="00B62DC2"/>
    <w:pPr>
      <w:numPr>
        <w:numId w:val="8"/>
      </w:numPr>
      <w:tabs>
        <w:tab w:val="clear" w:pos="504"/>
        <w:tab w:val="num" w:pos="360"/>
      </w:tabs>
      <w:ind w:left="0" w:firstLine="0"/>
    </w:pPr>
    <w:rPr>
      <w:szCs w:val="22"/>
    </w:rPr>
  </w:style>
  <w:style w:type="numbering" w:customStyle="1" w:styleId="StyleCharOutlinenumbered">
    <w:name w:val="Style Char Outline numbered"/>
    <w:basedOn w:val="NoList"/>
    <w:rsid w:val="00B62DC2"/>
    <w:pPr>
      <w:numPr>
        <w:numId w:val="32"/>
      </w:numPr>
    </w:pPr>
  </w:style>
  <w:style w:type="character" w:styleId="Hyperlink">
    <w:name w:val="Hyperlink"/>
    <w:rsid w:val="00726FBE"/>
    <w:rPr>
      <w:color w:val="0000FF"/>
      <w:u w:val="single"/>
    </w:rPr>
  </w:style>
  <w:style w:type="table" w:styleId="TableGrid">
    <w:name w:val="Table Grid"/>
    <w:basedOn w:val="TableNormal"/>
    <w:rsid w:val="0000310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503F"/>
    <w:rPr>
      <w:rFonts w:ascii="Tahoma" w:hAnsi="Tahoma" w:cs="Tahoma"/>
      <w:sz w:val="16"/>
      <w:szCs w:val="16"/>
    </w:rPr>
  </w:style>
  <w:style w:type="character" w:customStyle="1" w:styleId="BalloonTextChar">
    <w:name w:val="Balloon Text Char"/>
    <w:link w:val="BalloonText"/>
    <w:rsid w:val="00D9503F"/>
    <w:rPr>
      <w:rFonts w:ascii="Tahoma" w:hAnsi="Tahoma" w:cs="Tahoma"/>
      <w:kern w:val="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63123">
      <w:bodyDiv w:val="1"/>
      <w:marLeft w:val="0"/>
      <w:marRight w:val="0"/>
      <w:marTop w:val="0"/>
      <w:marBottom w:val="0"/>
      <w:divBdr>
        <w:top w:val="none" w:sz="0" w:space="0" w:color="auto"/>
        <w:left w:val="none" w:sz="0" w:space="0" w:color="auto"/>
        <w:bottom w:val="none" w:sz="0" w:space="0" w:color="auto"/>
        <w:right w:val="none" w:sz="0" w:space="0" w:color="auto"/>
      </w:divBdr>
    </w:div>
    <w:div w:id="239675249">
      <w:bodyDiv w:val="1"/>
      <w:marLeft w:val="0"/>
      <w:marRight w:val="0"/>
      <w:marTop w:val="0"/>
      <w:marBottom w:val="0"/>
      <w:divBdr>
        <w:top w:val="none" w:sz="0" w:space="0" w:color="auto"/>
        <w:left w:val="none" w:sz="0" w:space="0" w:color="auto"/>
        <w:bottom w:val="none" w:sz="0" w:space="0" w:color="auto"/>
        <w:right w:val="none" w:sz="0" w:space="0" w:color="auto"/>
      </w:divBdr>
    </w:div>
    <w:div w:id="339234359">
      <w:bodyDiv w:val="1"/>
      <w:marLeft w:val="0"/>
      <w:marRight w:val="0"/>
      <w:marTop w:val="0"/>
      <w:marBottom w:val="0"/>
      <w:divBdr>
        <w:top w:val="none" w:sz="0" w:space="0" w:color="auto"/>
        <w:left w:val="none" w:sz="0" w:space="0" w:color="auto"/>
        <w:bottom w:val="none" w:sz="0" w:space="0" w:color="auto"/>
        <w:right w:val="none" w:sz="0" w:space="0" w:color="auto"/>
      </w:divBdr>
    </w:div>
    <w:div w:id="429933486">
      <w:bodyDiv w:val="1"/>
      <w:marLeft w:val="0"/>
      <w:marRight w:val="0"/>
      <w:marTop w:val="0"/>
      <w:marBottom w:val="0"/>
      <w:divBdr>
        <w:top w:val="none" w:sz="0" w:space="0" w:color="auto"/>
        <w:left w:val="none" w:sz="0" w:space="0" w:color="auto"/>
        <w:bottom w:val="none" w:sz="0" w:space="0" w:color="auto"/>
        <w:right w:val="none" w:sz="0" w:space="0" w:color="auto"/>
      </w:divBdr>
    </w:div>
    <w:div w:id="565535993">
      <w:bodyDiv w:val="1"/>
      <w:marLeft w:val="0"/>
      <w:marRight w:val="0"/>
      <w:marTop w:val="0"/>
      <w:marBottom w:val="0"/>
      <w:divBdr>
        <w:top w:val="none" w:sz="0" w:space="0" w:color="auto"/>
        <w:left w:val="none" w:sz="0" w:space="0" w:color="auto"/>
        <w:bottom w:val="none" w:sz="0" w:space="0" w:color="auto"/>
        <w:right w:val="none" w:sz="0" w:space="0" w:color="auto"/>
      </w:divBdr>
    </w:div>
    <w:div w:id="910307969">
      <w:bodyDiv w:val="1"/>
      <w:marLeft w:val="0"/>
      <w:marRight w:val="0"/>
      <w:marTop w:val="0"/>
      <w:marBottom w:val="0"/>
      <w:divBdr>
        <w:top w:val="none" w:sz="0" w:space="0" w:color="auto"/>
        <w:left w:val="none" w:sz="0" w:space="0" w:color="auto"/>
        <w:bottom w:val="none" w:sz="0" w:space="0" w:color="auto"/>
        <w:right w:val="none" w:sz="0" w:space="0" w:color="auto"/>
      </w:divBdr>
    </w:div>
    <w:div w:id="1187912941">
      <w:bodyDiv w:val="1"/>
      <w:marLeft w:val="0"/>
      <w:marRight w:val="0"/>
      <w:marTop w:val="0"/>
      <w:marBottom w:val="0"/>
      <w:divBdr>
        <w:top w:val="none" w:sz="0" w:space="0" w:color="auto"/>
        <w:left w:val="none" w:sz="0" w:space="0" w:color="auto"/>
        <w:bottom w:val="none" w:sz="0" w:space="0" w:color="auto"/>
        <w:right w:val="none" w:sz="0" w:space="0" w:color="auto"/>
      </w:divBdr>
    </w:div>
    <w:div w:id="1514609174">
      <w:bodyDiv w:val="1"/>
      <w:marLeft w:val="0"/>
      <w:marRight w:val="0"/>
      <w:marTop w:val="0"/>
      <w:marBottom w:val="0"/>
      <w:divBdr>
        <w:top w:val="none" w:sz="0" w:space="0" w:color="auto"/>
        <w:left w:val="none" w:sz="0" w:space="0" w:color="auto"/>
        <w:bottom w:val="none" w:sz="0" w:space="0" w:color="auto"/>
        <w:right w:val="none" w:sz="0" w:space="0" w:color="auto"/>
      </w:divBdr>
    </w:div>
    <w:div w:id="1553153384">
      <w:bodyDiv w:val="1"/>
      <w:marLeft w:val="0"/>
      <w:marRight w:val="0"/>
      <w:marTop w:val="0"/>
      <w:marBottom w:val="0"/>
      <w:divBdr>
        <w:top w:val="none" w:sz="0" w:space="0" w:color="auto"/>
        <w:left w:val="none" w:sz="0" w:space="0" w:color="auto"/>
        <w:bottom w:val="none" w:sz="0" w:space="0" w:color="auto"/>
        <w:right w:val="none" w:sz="0" w:space="0" w:color="auto"/>
      </w:divBdr>
    </w:div>
    <w:div w:id="1612125226">
      <w:bodyDiv w:val="1"/>
      <w:marLeft w:val="0"/>
      <w:marRight w:val="0"/>
      <w:marTop w:val="0"/>
      <w:marBottom w:val="0"/>
      <w:divBdr>
        <w:top w:val="none" w:sz="0" w:space="0" w:color="auto"/>
        <w:left w:val="none" w:sz="0" w:space="0" w:color="auto"/>
        <w:bottom w:val="none" w:sz="0" w:space="0" w:color="auto"/>
        <w:right w:val="none" w:sz="0" w:space="0" w:color="auto"/>
      </w:divBdr>
    </w:div>
    <w:div w:id="1782068070">
      <w:bodyDiv w:val="1"/>
      <w:marLeft w:val="0"/>
      <w:marRight w:val="0"/>
      <w:marTop w:val="0"/>
      <w:marBottom w:val="0"/>
      <w:divBdr>
        <w:top w:val="none" w:sz="0" w:space="0" w:color="auto"/>
        <w:left w:val="none" w:sz="0" w:space="0" w:color="auto"/>
        <w:bottom w:val="none" w:sz="0" w:space="0" w:color="auto"/>
        <w:right w:val="none" w:sz="0" w:space="0" w:color="auto"/>
      </w:divBdr>
    </w:div>
    <w:div w:id="21427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1022</TotalTime>
  <Pages>2</Pages>
  <Words>4791</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Enterprise and Financial Activities</vt:lpstr>
    </vt:vector>
  </TitlesOfParts>
  <Manager>http://www.godeohlson.com</Manager>
  <Company>paper.dot</Company>
  <LinksUpToDate>false</LinksUpToDate>
  <CharactersWithSpaces>32042</CharactersWithSpaces>
  <SharedDoc>false</SharedDoc>
  <HLinks>
    <vt:vector size="6" baseType="variant">
      <vt:variant>
        <vt:i4>2752545</vt:i4>
      </vt:variant>
      <vt:variant>
        <vt:i4>8</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and Financial Activities</dc:title>
  <dc:subject>Financial Statement Analysis and Valuation</dc:subject>
  <dc:creator>Dan Gode and James Ohlson</dc:creator>
  <cp:keywords/>
  <dc:description/>
  <cp:lastModifiedBy>Dan Gode</cp:lastModifiedBy>
  <cp:revision>338</cp:revision>
  <cp:lastPrinted>2012-02-10T22:19:00Z</cp:lastPrinted>
  <dcterms:created xsi:type="dcterms:W3CDTF">2012-01-08T20:33:00Z</dcterms:created>
  <dcterms:modified xsi:type="dcterms:W3CDTF">2016-09-03T23:01:00Z</dcterms:modified>
</cp:coreProperties>
</file>