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E6" w:rsidRPr="00E378E1" w:rsidRDefault="00E378E1" w:rsidP="006214E6">
      <w:pPr>
        <w:pStyle w:val="Title"/>
      </w:pPr>
      <w:bookmarkStart w:id="0" w:name="_GoBack"/>
      <w:bookmarkEnd w:id="0"/>
      <w:r w:rsidRPr="00E378E1">
        <w:t xml:space="preserve">Extracting Recurring </w:t>
      </w:r>
      <w:smartTag w:uri="urn:schemas-microsoft-com:office:smarttags" w:element="City">
        <w:smartTag w:uri="urn:schemas-microsoft-com:office:smarttags" w:element="place">
          <w:r w:rsidRPr="00E378E1">
            <w:t>Enterprise</w:t>
          </w:r>
        </w:smartTag>
      </w:smartTag>
      <w:r w:rsidRPr="00E378E1">
        <w:t xml:space="preserve"> In</w:t>
      </w:r>
      <w:smartTag w:uri="urn:schemas-microsoft-com:office:smarttags" w:element="PersonName">
        <w:r w:rsidRPr="00E378E1">
          <w:t>com</w:t>
        </w:r>
      </w:smartTag>
      <w:r w:rsidRPr="00E378E1">
        <w:t>e</w:t>
      </w:r>
    </w:p>
    <w:p w:rsidR="00157131" w:rsidRDefault="008D1734" w:rsidP="00157131">
      <w:pPr>
        <w:pStyle w:val="Subtitle"/>
      </w:pPr>
      <w:r>
        <w:t xml:space="preserve">© </w:t>
      </w:r>
      <w:r w:rsidR="00157131">
        <w:t>Dan Gode and James Ohlson</w:t>
      </w:r>
    </w:p>
    <w:p w:rsidR="002E542C" w:rsidRDefault="002E542C" w:rsidP="00C1656B">
      <w:pPr>
        <w:pStyle w:val="Heading1"/>
      </w:pPr>
      <w:r>
        <w:t>Overview</w:t>
      </w:r>
    </w:p>
    <w:p w:rsidR="00D62ED5" w:rsidRDefault="00126AF0" w:rsidP="002B6586">
      <w:pPr>
        <w:pStyle w:val="BodyText"/>
      </w:pPr>
      <w:r>
        <w:t>There are three core driv</w:t>
      </w:r>
      <w:r w:rsidR="00854513">
        <w:t xml:space="preserve">ers of enterprise cash flows – enterprise profit margin after taxes, </w:t>
      </w:r>
      <w:r w:rsidR="00D62ED5" w:rsidRPr="00D62ED5">
        <w:t>the</w:t>
      </w:r>
      <w:r>
        <w:t xml:space="preserve"> net enterprise </w:t>
      </w:r>
      <w:r w:rsidR="00D62ED5" w:rsidRPr="00D62ED5">
        <w:t>asset intensity</w:t>
      </w:r>
      <w:r w:rsidR="00854513">
        <w:t>, and the sales growth</w:t>
      </w:r>
      <w:r>
        <w:t xml:space="preserve">. </w:t>
      </w:r>
      <w:r w:rsidR="002B6586">
        <w:t xml:space="preserve">These drivers were brought forward in the FSA1 and VAL1. </w:t>
      </w:r>
      <w:r w:rsidR="007915E9">
        <w:t>FSA1 provides a first cut computation of the profit margin and asset intensity. This spreadsheet takes a closer look at the profit margin because the forecasted</w:t>
      </w:r>
      <w:r w:rsidR="007915E9" w:rsidRPr="007915E9">
        <w:t xml:space="preserve"> profit margin tends to be the most sensitive to an evaluation of the current financial statements. This spreadsheet underscores this aspect</w:t>
      </w:r>
      <w:r w:rsidR="00CC7562">
        <w:t xml:space="preserve"> by doing</w:t>
      </w:r>
      <w:r w:rsidR="007915E9" w:rsidRPr="007915E9">
        <w:t xml:space="preserve"> the following:</w:t>
      </w:r>
    </w:p>
    <w:p w:rsidR="00E23621" w:rsidRDefault="008C1083" w:rsidP="00425379">
      <w:pPr>
        <w:pStyle w:val="BodyText"/>
        <w:numPr>
          <w:ilvl w:val="0"/>
          <w:numId w:val="12"/>
        </w:numPr>
      </w:pPr>
      <w:r>
        <w:t xml:space="preserve">It </w:t>
      </w:r>
      <w:r w:rsidR="00C228C0">
        <w:t xml:space="preserve">computes primary recurring enterprise profit margin after tax by </w:t>
      </w:r>
      <w:r w:rsidR="00E23621">
        <w:t>categoriz</w:t>
      </w:r>
      <w:r w:rsidR="00C228C0">
        <w:t>ing</w:t>
      </w:r>
      <w:r>
        <w:t xml:space="preserve"> income statement items into three sets:</w:t>
      </w:r>
      <w:r w:rsidR="00E23621">
        <w:t xml:space="preserve"> </w:t>
      </w:r>
    </w:p>
    <w:p w:rsidR="00E23621" w:rsidRDefault="008E4D4E" w:rsidP="00425379">
      <w:pPr>
        <w:pStyle w:val="BodyText"/>
        <w:numPr>
          <w:ilvl w:val="1"/>
          <w:numId w:val="12"/>
        </w:numPr>
      </w:pPr>
      <w:r>
        <w:t xml:space="preserve">Separate </w:t>
      </w:r>
      <w:r w:rsidR="00E23621">
        <w:t>enterprise items from financing items</w:t>
      </w:r>
      <w:r>
        <w:t>.</w:t>
      </w:r>
    </w:p>
    <w:p w:rsidR="00E23621" w:rsidRDefault="008E4D4E" w:rsidP="00425379">
      <w:pPr>
        <w:pStyle w:val="BodyText"/>
        <w:numPr>
          <w:ilvl w:val="1"/>
          <w:numId w:val="12"/>
        </w:numPr>
      </w:pPr>
      <w:r>
        <w:t>Separate</w:t>
      </w:r>
      <w:r w:rsidR="00E23621">
        <w:t xml:space="preserve"> recurring enterprise items from non-recurring enterprise items</w:t>
      </w:r>
      <w:r>
        <w:t>.</w:t>
      </w:r>
    </w:p>
    <w:p w:rsidR="00E23621" w:rsidRDefault="008E4D4E" w:rsidP="00425379">
      <w:pPr>
        <w:pStyle w:val="BodyText"/>
        <w:numPr>
          <w:ilvl w:val="1"/>
          <w:numId w:val="12"/>
        </w:numPr>
      </w:pPr>
      <w:r>
        <w:t>Separate</w:t>
      </w:r>
      <w:r w:rsidR="00E23621">
        <w:t xml:space="preserve"> primary recurring enterprise items from secondary recurring enterprise items. </w:t>
      </w:r>
      <w:r w:rsidR="008C1083">
        <w:t>P</w:t>
      </w:r>
      <w:r w:rsidR="00E23621">
        <w:t>rimary items such as COGS are those that are driven by sales while secondary items such as equity income are those that are not driven by sales.</w:t>
      </w:r>
    </w:p>
    <w:p w:rsidR="008C1083" w:rsidRDefault="008C1083" w:rsidP="00425379">
      <w:pPr>
        <w:pStyle w:val="BodyText"/>
        <w:numPr>
          <w:ilvl w:val="0"/>
          <w:numId w:val="12"/>
        </w:numPr>
      </w:pPr>
      <w:r w:rsidRPr="008404E7">
        <w:t>It identifies the input</w:t>
      </w:r>
      <w:r>
        <w:t>s</w:t>
      </w:r>
      <w:r w:rsidRPr="008404E7">
        <w:t xml:space="preserve"> </w:t>
      </w:r>
      <w:r>
        <w:t>necessary to estimate tax rates to compute the most important financial statistic: Recurring primary enterprise profit margin after taxes.</w:t>
      </w:r>
    </w:p>
    <w:p w:rsidR="008404E7" w:rsidRDefault="00EC163D" w:rsidP="00425379">
      <w:pPr>
        <w:pStyle w:val="BodyText"/>
        <w:numPr>
          <w:ilvl w:val="0"/>
          <w:numId w:val="10"/>
        </w:numPr>
      </w:pPr>
      <w:r>
        <w:t>It</w:t>
      </w:r>
      <w:r w:rsidR="008C1083">
        <w:t xml:space="preserve"> also </w:t>
      </w:r>
      <w:r w:rsidR="008404E7">
        <w:t xml:space="preserve">provides </w:t>
      </w:r>
      <w:r>
        <w:t>several</w:t>
      </w:r>
      <w:r w:rsidR="008404E7">
        <w:t xml:space="preserve"> key statistics that aid the forecasting of value drivers such as primary net enterprise assets relative to sales, primary ROIC, and past growth rates, especially sales</w:t>
      </w:r>
      <w:r w:rsidR="0032768F">
        <w:t xml:space="preserve"> growth</w:t>
      </w:r>
      <w:r w:rsidR="008404E7">
        <w:t>.</w:t>
      </w:r>
    </w:p>
    <w:p w:rsidR="00B3687D" w:rsidRDefault="00B23317" w:rsidP="002B1B62">
      <w:pPr>
        <w:pStyle w:val="BodyText"/>
      </w:pPr>
      <w:r>
        <w:t>The spreadsheet uses three years of income statements</w:t>
      </w:r>
      <w:r w:rsidR="008C1083">
        <w:t xml:space="preserve"> to conform</w:t>
      </w:r>
      <w:r w:rsidR="008C1083" w:rsidRPr="008C1083">
        <w:t xml:space="preserve"> to </w:t>
      </w:r>
      <w:r w:rsidR="002B1B62">
        <w:t xml:space="preserve">the </w:t>
      </w:r>
      <w:r w:rsidR="008C1083">
        <w:t>standard practice</w:t>
      </w:r>
      <w:r w:rsidR="002B1B62">
        <w:t xml:space="preserve"> of companies providing three years of income statements. However, income statements alone do not suffice as they do not contain the details necessary to identifying non-recurring items and secondary items; reading the entire financial report is often necessary. </w:t>
      </w:r>
    </w:p>
    <w:p w:rsidR="00EF7073" w:rsidRDefault="00EF7073" w:rsidP="00EF7073">
      <w:pPr>
        <w:pStyle w:val="Heading1"/>
      </w:pPr>
      <w:r>
        <w:t xml:space="preserve">Detailed </w:t>
      </w:r>
      <w:r w:rsidR="00306D30">
        <w:t>steps to be read with the spreadsheet</w:t>
      </w:r>
    </w:p>
    <w:p w:rsidR="001D38D1" w:rsidRDefault="00323C22" w:rsidP="001D38D1">
      <w:pPr>
        <w:pStyle w:val="BodyText"/>
      </w:pPr>
      <w:r>
        <w:t xml:space="preserve">Reminder: </w:t>
      </w:r>
      <w:r w:rsidR="001D38D1">
        <w:t>Lines that are likely to be blank are shaded gray.</w:t>
      </w:r>
    </w:p>
    <w:p w:rsidR="0085045A" w:rsidRDefault="0085045A" w:rsidP="0085045A">
      <w:pPr>
        <w:pStyle w:val="Heading2"/>
      </w:pPr>
      <w:r>
        <w:t>Recurring primary enterprise items</w:t>
      </w:r>
    </w:p>
    <w:p w:rsidR="005D5BFF" w:rsidRDefault="00A5465A" w:rsidP="00425379">
      <w:pPr>
        <w:pStyle w:val="BodyText"/>
        <w:numPr>
          <w:ilvl w:val="0"/>
          <w:numId w:val="13"/>
        </w:numPr>
      </w:pPr>
      <w:r>
        <w:t xml:space="preserve">Input: </w:t>
      </w:r>
      <w:r w:rsidR="00F37947">
        <w:t>Revenues</w:t>
      </w:r>
      <w:r w:rsidR="00082AA8">
        <w:t>.</w:t>
      </w:r>
      <w:r w:rsidR="0021096C">
        <w:t xml:space="preserve"> </w:t>
      </w:r>
    </w:p>
    <w:p w:rsidR="005D5BFF" w:rsidRDefault="005D5BFF" w:rsidP="00425379">
      <w:pPr>
        <w:pStyle w:val="BodyText"/>
        <w:numPr>
          <w:ilvl w:val="1"/>
          <w:numId w:val="13"/>
        </w:numPr>
      </w:pPr>
      <w:r>
        <w:t xml:space="preserve">Judgment is required to determine if one </w:t>
      </w:r>
      <w:r w:rsidR="00523B07">
        <w:t>should a</w:t>
      </w:r>
      <w:r>
        <w:t>naly</w:t>
      </w:r>
      <w:r w:rsidR="00523B07">
        <w:t>ze</w:t>
      </w:r>
      <w:r>
        <w:t xml:space="preserve"> components of revenues. </w:t>
      </w:r>
      <w:r w:rsidR="00855AAA">
        <w:t>For example, one may want to remove interest income of finance subsidiaries from revenues and expenses of finance subsidiaries from expenses. A detailed discussion of these issues is beyond the scope of this document.</w:t>
      </w:r>
    </w:p>
    <w:p w:rsidR="005D5BFF" w:rsidRDefault="00D64D9B" w:rsidP="00425379">
      <w:pPr>
        <w:pStyle w:val="BodyText"/>
        <w:numPr>
          <w:ilvl w:val="1"/>
          <w:numId w:val="13"/>
        </w:numPr>
      </w:pPr>
      <w:r>
        <w:t xml:space="preserve">One </w:t>
      </w:r>
      <w:r w:rsidR="005D5BFF">
        <w:t xml:space="preserve">can also </w:t>
      </w:r>
      <w:r>
        <w:t xml:space="preserve">debate whether the </w:t>
      </w:r>
      <w:r w:rsidR="00855AAA">
        <w:t xml:space="preserve">historical </w:t>
      </w:r>
      <w:r>
        <w:t>revenues are abnormally high or low due to an economic boom or bust. However, such analysis is beyond the scope of this spreadsheet.</w:t>
      </w:r>
    </w:p>
    <w:p w:rsidR="005D5BFF" w:rsidRDefault="00A5465A" w:rsidP="00425379">
      <w:pPr>
        <w:pStyle w:val="BodyText"/>
        <w:numPr>
          <w:ilvl w:val="0"/>
          <w:numId w:val="13"/>
        </w:numPr>
      </w:pPr>
      <w:r>
        <w:t xml:space="preserve">Input: </w:t>
      </w:r>
      <w:r w:rsidR="0085045A">
        <w:t>Cost</w:t>
      </w:r>
      <w:r w:rsidR="00082AA8">
        <w:t xml:space="preserve"> of sales.</w:t>
      </w:r>
      <w:r w:rsidR="0085045A">
        <w:t xml:space="preserve"> </w:t>
      </w:r>
      <w:r w:rsidR="0021096C">
        <w:t>T</w:t>
      </w:r>
      <w:r w:rsidR="0085045A" w:rsidRPr="0085045A">
        <w:t>hese costs are more likely to be proportional to sales than other costs such as selling, general, and administrative costs, and R&amp;D costs.</w:t>
      </w:r>
    </w:p>
    <w:p w:rsidR="005D5BFF" w:rsidRDefault="00D018A7" w:rsidP="00425379">
      <w:pPr>
        <w:pStyle w:val="BodyText"/>
        <w:numPr>
          <w:ilvl w:val="1"/>
          <w:numId w:val="13"/>
        </w:numPr>
      </w:pPr>
      <w:r>
        <w:t>One should exclude non-recurring items such as write</w:t>
      </w:r>
      <w:r w:rsidR="002F04BE">
        <w:t>-</w:t>
      </w:r>
      <w:r>
        <w:t>downs</w:t>
      </w:r>
      <w:r w:rsidR="002F04BE">
        <w:t xml:space="preserve"> of inventory and PP&amp;E. The details of such items are often in the notes.</w:t>
      </w:r>
      <w:r w:rsidR="006F774F">
        <w:t xml:space="preserve"> See the list at the bottom of the spreadsheet.</w:t>
      </w:r>
    </w:p>
    <w:p w:rsidR="005D5BFF" w:rsidRDefault="00A5465A" w:rsidP="00425379">
      <w:pPr>
        <w:pStyle w:val="BodyText"/>
        <w:numPr>
          <w:ilvl w:val="0"/>
          <w:numId w:val="13"/>
        </w:numPr>
      </w:pPr>
      <w:r>
        <w:t xml:space="preserve">Input: </w:t>
      </w:r>
      <w:r w:rsidR="0085045A">
        <w:t xml:space="preserve">Selling, general, and administrative expenses are period costs and hence may not be as well matched </w:t>
      </w:r>
      <w:r w:rsidR="005103B6">
        <w:t>t</w:t>
      </w:r>
      <w:r w:rsidR="0085045A">
        <w:t xml:space="preserve">o sales as </w:t>
      </w:r>
      <w:r w:rsidR="005103B6">
        <w:t xml:space="preserve">are </w:t>
      </w:r>
      <w:r w:rsidR="006F774F">
        <w:t>cost of sales</w:t>
      </w:r>
      <w:r w:rsidR="0085045A">
        <w:t>.</w:t>
      </w:r>
    </w:p>
    <w:p w:rsidR="005D5BFF" w:rsidRDefault="006F774F" w:rsidP="00425379">
      <w:pPr>
        <w:pStyle w:val="BodyText"/>
        <w:numPr>
          <w:ilvl w:val="1"/>
          <w:numId w:val="13"/>
        </w:numPr>
      </w:pPr>
      <w:r>
        <w:lastRenderedPageBreak/>
        <w:t>Once again, non-recurring items should be excluded. See the list at the bottom of the spreadsheet.</w:t>
      </w:r>
    </w:p>
    <w:p w:rsidR="005D5BFF" w:rsidRDefault="00A5465A" w:rsidP="00425379">
      <w:pPr>
        <w:pStyle w:val="BodyText"/>
        <w:numPr>
          <w:ilvl w:val="0"/>
          <w:numId w:val="13"/>
        </w:numPr>
      </w:pPr>
      <w:r>
        <w:t xml:space="preserve">Input: </w:t>
      </w:r>
      <w:r w:rsidR="0085045A">
        <w:t>R&amp;D costs</w:t>
      </w:r>
      <w:r w:rsidR="00855AAA">
        <w:t>. There is a long delay between incurrence of R&amp;D costs and revenue generated. Because R&amp;D costs are immediately expensed, there is a timing mismatch between R&amp;D costs and revenues.</w:t>
      </w:r>
    </w:p>
    <w:p w:rsidR="005D5BFF" w:rsidRDefault="006F774F" w:rsidP="00425379">
      <w:pPr>
        <w:pStyle w:val="BodyText"/>
        <w:numPr>
          <w:ilvl w:val="1"/>
          <w:numId w:val="13"/>
        </w:numPr>
      </w:pPr>
      <w:r>
        <w:t>Once again, non-recurring items should be excluded. See the list at the bottom of the spreadsheet.</w:t>
      </w:r>
    </w:p>
    <w:p w:rsidR="005D5BFF" w:rsidRDefault="006F774F" w:rsidP="00425379">
      <w:pPr>
        <w:pStyle w:val="BodyText"/>
        <w:numPr>
          <w:ilvl w:val="0"/>
          <w:numId w:val="13"/>
        </w:numPr>
      </w:pPr>
      <w:r>
        <w:t xml:space="preserve">Other: </w:t>
      </w:r>
      <w:r w:rsidR="00CB4BD1">
        <w:t>If some items have not been included in the line items above, they should be listed here.</w:t>
      </w:r>
      <w:bookmarkStart w:id="1" w:name="OLE_LINK1"/>
      <w:bookmarkStart w:id="2" w:name="OLE_LINK2"/>
    </w:p>
    <w:p w:rsidR="0085045A" w:rsidRDefault="00A5465A" w:rsidP="00425379">
      <w:pPr>
        <w:pStyle w:val="BodyText"/>
        <w:numPr>
          <w:ilvl w:val="0"/>
          <w:numId w:val="13"/>
        </w:numPr>
      </w:pPr>
      <w:r>
        <w:t xml:space="preserve">Subtotal: </w:t>
      </w:r>
      <w:bookmarkEnd w:id="1"/>
      <w:bookmarkEnd w:id="2"/>
      <w:r w:rsidR="0085045A">
        <w:t xml:space="preserve">Recurring </w:t>
      </w:r>
      <w:r w:rsidR="00115C52">
        <w:t xml:space="preserve">primary </w:t>
      </w:r>
      <w:r w:rsidR="0085045A">
        <w:t>enterprise</w:t>
      </w:r>
      <w:r w:rsidR="00CB4BD1">
        <w:t xml:space="preserve"> profit before tax</w:t>
      </w:r>
      <w:r w:rsidR="00866F9C">
        <w:t xml:space="preserve"> = </w:t>
      </w:r>
      <w:r w:rsidR="00F547D4">
        <w:t>Revenues</w:t>
      </w:r>
      <w:r w:rsidR="00866F9C">
        <w:t xml:space="preserve"> </w:t>
      </w:r>
      <w:r w:rsidR="00F547D4">
        <w:t>–</w:t>
      </w:r>
      <w:r w:rsidR="00866F9C">
        <w:t xml:space="preserve"> </w:t>
      </w:r>
      <w:r w:rsidR="00F547D4">
        <w:t>Recurring primary e</w:t>
      </w:r>
      <w:r w:rsidR="00866F9C">
        <w:t>xpenses</w:t>
      </w:r>
      <w:r w:rsidR="00CB4BD1">
        <w:t>.</w:t>
      </w:r>
      <w:r w:rsidR="00F547D4" w:rsidRPr="00F547D4">
        <w:t xml:space="preserve"> </w:t>
      </w:r>
    </w:p>
    <w:p w:rsidR="0085045A" w:rsidRDefault="0085045A" w:rsidP="00C409EB">
      <w:pPr>
        <w:pStyle w:val="Heading2"/>
      </w:pPr>
      <w:r>
        <w:t>Recurring secondary enterprise items</w:t>
      </w:r>
    </w:p>
    <w:p w:rsidR="0085045A" w:rsidRDefault="00A5465A" w:rsidP="00425379">
      <w:pPr>
        <w:pStyle w:val="BodyText"/>
        <w:numPr>
          <w:ilvl w:val="0"/>
          <w:numId w:val="13"/>
        </w:numPr>
      </w:pPr>
      <w:r>
        <w:t xml:space="preserve">Input: </w:t>
      </w:r>
      <w:r w:rsidR="0085045A">
        <w:t>Income (loss) from equity investments [Income: positive, Loss: Negative]</w:t>
      </w:r>
      <w:r w:rsidR="00C409EB">
        <w:t xml:space="preserve">: </w:t>
      </w:r>
      <w:r w:rsidR="00C409EB" w:rsidRPr="00C409EB">
        <w:t>Equity income is the share of net income of affiliates. Although recurring, it is unlikely to be pro</w:t>
      </w:r>
      <w:r w:rsidR="005103B6">
        <w:t>portional to a company’s sales.</w:t>
      </w:r>
    </w:p>
    <w:p w:rsidR="001D38D1" w:rsidRDefault="00866F9C" w:rsidP="00425379">
      <w:pPr>
        <w:pStyle w:val="BodyText"/>
        <w:numPr>
          <w:ilvl w:val="0"/>
          <w:numId w:val="13"/>
        </w:numPr>
      </w:pPr>
      <w:r>
        <w:t>Other items</w:t>
      </w:r>
    </w:p>
    <w:p w:rsidR="0085045A" w:rsidRDefault="00C409EB" w:rsidP="00425379">
      <w:pPr>
        <w:pStyle w:val="BodyText"/>
        <w:numPr>
          <w:ilvl w:val="0"/>
          <w:numId w:val="13"/>
        </w:numPr>
      </w:pPr>
      <w:r>
        <w:t xml:space="preserve">Subtotal: </w:t>
      </w:r>
      <w:r w:rsidR="0085045A">
        <w:t>Recurring secondary enterprise income</w:t>
      </w:r>
    </w:p>
    <w:p w:rsidR="00BB56A9" w:rsidRDefault="00115C52" w:rsidP="005C4F05">
      <w:pPr>
        <w:pStyle w:val="Heading2"/>
      </w:pPr>
      <w:r>
        <w:t>Tax</w:t>
      </w:r>
      <w:r w:rsidR="006C2260">
        <w:t xml:space="preserve"> rates</w:t>
      </w:r>
    </w:p>
    <w:p w:rsidR="00992CD5" w:rsidRDefault="00992CD5" w:rsidP="00425379">
      <w:pPr>
        <w:pStyle w:val="BodyText"/>
        <w:numPr>
          <w:ilvl w:val="0"/>
          <w:numId w:val="11"/>
        </w:numPr>
      </w:pPr>
      <w:r>
        <w:t>Income filed with the tax authorities as per the tax rules is called taxable income.</w:t>
      </w:r>
    </w:p>
    <w:p w:rsidR="00992CD5" w:rsidRDefault="00992CD5" w:rsidP="00425379">
      <w:pPr>
        <w:pStyle w:val="BodyText"/>
        <w:numPr>
          <w:ilvl w:val="0"/>
          <w:numId w:val="11"/>
        </w:numPr>
      </w:pPr>
      <w:r>
        <w:t>Taxable income is multiplied by the statutory tax</w:t>
      </w:r>
      <w:r w:rsidR="00287426">
        <w:t xml:space="preserve"> rate to arrive at the tax bill for the year.</w:t>
      </w:r>
    </w:p>
    <w:p w:rsidR="00287426" w:rsidRDefault="00287426" w:rsidP="00425379">
      <w:pPr>
        <w:pStyle w:val="BodyText"/>
        <w:numPr>
          <w:ilvl w:val="0"/>
          <w:numId w:val="11"/>
        </w:numPr>
      </w:pPr>
      <w:r>
        <w:t>Income prepared according to the accounting rules is called earnings before taxes (EBT).</w:t>
      </w:r>
    </w:p>
    <w:p w:rsidR="00287426" w:rsidRDefault="00287426" w:rsidP="00425379">
      <w:pPr>
        <w:pStyle w:val="BodyText"/>
        <w:numPr>
          <w:ilvl w:val="0"/>
          <w:numId w:val="11"/>
        </w:numPr>
      </w:pPr>
      <w:r>
        <w:t>Due to differences in tax and accounting rules, there are permanent (non-reversing) and temporary (reversing) differences between EBT and taxable income.</w:t>
      </w:r>
    </w:p>
    <w:p w:rsidR="00287426" w:rsidRDefault="00287426" w:rsidP="00425379">
      <w:pPr>
        <w:pStyle w:val="BodyText"/>
        <w:numPr>
          <w:ilvl w:val="0"/>
          <w:numId w:val="11"/>
        </w:numPr>
      </w:pPr>
      <w:r>
        <w:t>Current tax expense = tax bill. [Advanced point that can be skipped. In reality, current tax expense = tax bill + adjustments for tax reserves and stock options]</w:t>
      </w:r>
    </w:p>
    <w:p w:rsidR="00287426" w:rsidRDefault="00287426" w:rsidP="00425379">
      <w:pPr>
        <w:pStyle w:val="BodyText"/>
        <w:numPr>
          <w:ilvl w:val="0"/>
          <w:numId w:val="11"/>
        </w:numPr>
      </w:pPr>
      <w:r>
        <w:t>Deferred tax expense = Temporary differences * statutory tax rate</w:t>
      </w:r>
    </w:p>
    <w:p w:rsidR="00287426" w:rsidRDefault="00287426" w:rsidP="00425379">
      <w:pPr>
        <w:pStyle w:val="BodyText"/>
        <w:numPr>
          <w:ilvl w:val="0"/>
          <w:numId w:val="11"/>
        </w:numPr>
      </w:pPr>
      <w:r>
        <w:t>Total tax expense = Current tax expense + Deferred tax expense</w:t>
      </w:r>
    </w:p>
    <w:p w:rsidR="00287426" w:rsidRDefault="00287426" w:rsidP="00425379">
      <w:pPr>
        <w:pStyle w:val="BodyText"/>
        <w:numPr>
          <w:ilvl w:val="0"/>
          <w:numId w:val="11"/>
        </w:numPr>
      </w:pPr>
      <w:r>
        <w:t>Effective tax rate = Total tax expense/EBT. Effective tax rate differs from statutory tax rate due to permanent differences and other advance</w:t>
      </w:r>
      <w:r w:rsidR="002C4A8E">
        <w:t>d</w:t>
      </w:r>
      <w:r>
        <w:t xml:space="preserve"> items such as tax reserves and valuation allowances.</w:t>
      </w:r>
    </w:p>
    <w:p w:rsidR="00287426" w:rsidRDefault="00287426" w:rsidP="00425379">
      <w:pPr>
        <w:pStyle w:val="BodyText"/>
        <w:numPr>
          <w:ilvl w:val="0"/>
          <w:numId w:val="11"/>
        </w:numPr>
      </w:pPr>
      <w:r>
        <w:t xml:space="preserve">Items </w:t>
      </w:r>
      <w:r w:rsidR="00754483">
        <w:t>that make</w:t>
      </w:r>
      <w:r>
        <w:t xml:space="preserve"> the effective tax rate different from the statutory tax rate are shown in the tax rate reconcil</w:t>
      </w:r>
      <w:r w:rsidR="00E12D5E">
        <w:t xml:space="preserve">iation table in the </w:t>
      </w:r>
      <w:r>
        <w:t>notes. The</w:t>
      </w:r>
      <w:r w:rsidR="00754483">
        <w:t>se</w:t>
      </w:r>
      <w:r>
        <w:t xml:space="preserve"> items may be listed in dollars or as a percentage. One need not consider the effect of the following three types of items on tax rates here:</w:t>
      </w:r>
    </w:p>
    <w:p w:rsidR="00287426" w:rsidRDefault="00287426" w:rsidP="00425379">
      <w:pPr>
        <w:pStyle w:val="BodyText"/>
        <w:numPr>
          <w:ilvl w:val="1"/>
          <w:numId w:val="11"/>
        </w:numPr>
      </w:pPr>
      <w:r>
        <w:t xml:space="preserve">non-recurring items such as goodwill impairments, tax contingencies, and valuation allowances </w:t>
      </w:r>
    </w:p>
    <w:p w:rsidR="00287426" w:rsidRDefault="00287426" w:rsidP="00425379">
      <w:pPr>
        <w:pStyle w:val="BodyText"/>
        <w:numPr>
          <w:ilvl w:val="1"/>
          <w:numId w:val="11"/>
        </w:numPr>
      </w:pPr>
      <w:r>
        <w:t>financial items such as tax exempt interest income</w:t>
      </w:r>
    </w:p>
    <w:p w:rsidR="00287426" w:rsidRDefault="00287426" w:rsidP="00425379">
      <w:pPr>
        <w:pStyle w:val="BodyText"/>
        <w:numPr>
          <w:ilvl w:val="1"/>
          <w:numId w:val="11"/>
        </w:numPr>
      </w:pPr>
      <w:r>
        <w:t>secondary items such as equity income</w:t>
      </w:r>
    </w:p>
    <w:p w:rsidR="002C4A8E" w:rsidRDefault="005C4F05" w:rsidP="00425379">
      <w:pPr>
        <w:pStyle w:val="BodyText"/>
        <w:numPr>
          <w:ilvl w:val="0"/>
          <w:numId w:val="11"/>
        </w:numPr>
      </w:pPr>
      <w:r>
        <w:t>Interest e</w:t>
      </w:r>
      <w:r w:rsidR="00783D2B">
        <w:t>xpense is generally tax deductible. The tax saving</w:t>
      </w:r>
      <w:r>
        <w:t xml:space="preserve"> due to interest</w:t>
      </w:r>
      <w:r w:rsidR="00783D2B">
        <w:t xml:space="preserve"> is referred to as the “tax shield”</w:t>
      </w:r>
      <w:r>
        <w:t>, and is equal to interest expense * tax rate</w:t>
      </w:r>
      <w:r w:rsidR="00783D2B">
        <w:t>.</w:t>
      </w:r>
      <w:r>
        <w:t xml:space="preserve"> Due to the tax shield, the after tax interest rate = Interest rate * (1- tax rate).</w:t>
      </w:r>
      <w:r w:rsidR="00783D2B">
        <w:t xml:space="preserve"> Typically</w:t>
      </w:r>
      <w:r>
        <w:t>,</w:t>
      </w:r>
      <w:r w:rsidR="00783D2B">
        <w:t xml:space="preserve"> one assumes that interest is taxed at the statutory rate. </w:t>
      </w:r>
    </w:p>
    <w:p w:rsidR="00115C52" w:rsidRDefault="00115C52" w:rsidP="00425379">
      <w:pPr>
        <w:pStyle w:val="BodyText"/>
        <w:numPr>
          <w:ilvl w:val="0"/>
          <w:numId w:val="11"/>
        </w:numPr>
      </w:pPr>
      <w:r>
        <w:t xml:space="preserve">Since taxes are assessed on overall income, not individual line items of income, any tax allocation scheme in inherently somewhat arbitrary. </w:t>
      </w:r>
      <w:r w:rsidR="00735DC3">
        <w:t xml:space="preserve">We need to derive the </w:t>
      </w:r>
      <w:r w:rsidR="00735DC3" w:rsidRPr="00735DC3">
        <w:t>effective tax rate after removing non-recurring items and financial items.</w:t>
      </w:r>
      <w:r w:rsidR="00003C95">
        <w:t xml:space="preserve"> A simpler alternative is to use the management guidance regarding future tax rates.</w:t>
      </w:r>
    </w:p>
    <w:p w:rsidR="006C2260" w:rsidRDefault="00115C52" w:rsidP="00425379">
      <w:pPr>
        <w:pStyle w:val="BodyText"/>
        <w:numPr>
          <w:ilvl w:val="0"/>
          <w:numId w:val="13"/>
        </w:numPr>
      </w:pPr>
      <w:r>
        <w:t xml:space="preserve">Input: </w:t>
      </w:r>
      <w:r w:rsidR="006C2260">
        <w:t>Tax rate for recurring primary enterprise profit</w:t>
      </w:r>
    </w:p>
    <w:p w:rsidR="00576DE3" w:rsidRDefault="006C2260" w:rsidP="00425379">
      <w:pPr>
        <w:pStyle w:val="BodyText"/>
        <w:numPr>
          <w:ilvl w:val="0"/>
          <w:numId w:val="13"/>
        </w:numPr>
      </w:pPr>
      <w:r>
        <w:t>Input: Tax rate</w:t>
      </w:r>
      <w:r w:rsidR="00815C16" w:rsidRPr="00815C16">
        <w:t xml:space="preserve"> for recurring secondary income</w:t>
      </w:r>
      <w:r w:rsidR="00815C16">
        <w:t>. For example,</w:t>
      </w:r>
      <w:r w:rsidR="00815C16" w:rsidRPr="00815C16">
        <w:t xml:space="preserve"> </w:t>
      </w:r>
      <w:r w:rsidR="00815C16">
        <w:t>e</w:t>
      </w:r>
      <w:r w:rsidR="00815C16" w:rsidRPr="00815C16">
        <w:t>quity income is subject to dividends received deduction and is taxed at lower rates.</w:t>
      </w:r>
    </w:p>
    <w:p w:rsidR="00044FBE" w:rsidRDefault="00044FBE" w:rsidP="001D38D1">
      <w:pPr>
        <w:pStyle w:val="Heading2"/>
      </w:pPr>
      <w:r>
        <w:t xml:space="preserve">After-tax </w:t>
      </w:r>
      <w:r w:rsidR="00576DE3">
        <w:t xml:space="preserve">enterprise </w:t>
      </w:r>
      <w:r>
        <w:t>profits</w:t>
      </w:r>
      <w:r w:rsidR="00A91048">
        <w:t xml:space="preserve"> [EPAT]</w:t>
      </w:r>
    </w:p>
    <w:p w:rsidR="00576DE3" w:rsidRDefault="00576DE3" w:rsidP="00425379">
      <w:pPr>
        <w:pStyle w:val="BodyText"/>
        <w:numPr>
          <w:ilvl w:val="0"/>
          <w:numId w:val="13"/>
        </w:numPr>
      </w:pPr>
      <w:r>
        <w:t>Recurring primary enterprise profit after tax = Recurring primary enterprise profit before tax * (1- r</w:t>
      </w:r>
      <w:r w:rsidRPr="00E8750B">
        <w:t xml:space="preserve">ecurring </w:t>
      </w:r>
      <w:r w:rsidR="00815C16">
        <w:t>primary tax</w:t>
      </w:r>
      <w:r>
        <w:t xml:space="preserve"> rate). This is the key after-tax bottom-line.</w:t>
      </w:r>
    </w:p>
    <w:p w:rsidR="00044FBE" w:rsidRPr="00044FBE" w:rsidRDefault="00576DE3" w:rsidP="00425379">
      <w:pPr>
        <w:pStyle w:val="BodyText"/>
        <w:numPr>
          <w:ilvl w:val="0"/>
          <w:numId w:val="13"/>
        </w:numPr>
      </w:pPr>
      <w:r>
        <w:t xml:space="preserve">Recurring secondary enterprise profit after tax = Recurring secondary enterprise profit before tax * (1- </w:t>
      </w:r>
      <w:r w:rsidR="00815C16">
        <w:t>r</w:t>
      </w:r>
      <w:r w:rsidR="00815C16" w:rsidRPr="00E8750B">
        <w:t xml:space="preserve">ecurring </w:t>
      </w:r>
      <w:r w:rsidR="00815C16">
        <w:t>secondary tax rate</w:t>
      </w:r>
      <w:r>
        <w:t>).</w:t>
      </w:r>
    </w:p>
    <w:p w:rsidR="008D3783" w:rsidRDefault="008D3783" w:rsidP="001D38D1">
      <w:pPr>
        <w:pStyle w:val="Heading2"/>
      </w:pPr>
      <w:r>
        <w:t>Net enterprise assets</w:t>
      </w:r>
      <w:r w:rsidR="00A91048">
        <w:t xml:space="preserve"> [NEA]</w:t>
      </w:r>
    </w:p>
    <w:p w:rsidR="00CA1020" w:rsidRDefault="008D3783" w:rsidP="00425379">
      <w:pPr>
        <w:pStyle w:val="BodyText"/>
        <w:numPr>
          <w:ilvl w:val="0"/>
          <w:numId w:val="13"/>
        </w:numPr>
      </w:pPr>
      <w:r>
        <w:t>Input: Net enterprise assets related to primary activities</w:t>
      </w:r>
    </w:p>
    <w:p w:rsidR="008D3783" w:rsidRPr="008D3783" w:rsidRDefault="00ED32FA" w:rsidP="00425379">
      <w:pPr>
        <w:pStyle w:val="BodyText"/>
        <w:numPr>
          <w:ilvl w:val="1"/>
          <w:numId w:val="13"/>
        </w:numPr>
      </w:pPr>
      <w:r>
        <w:t xml:space="preserve">One </w:t>
      </w:r>
      <w:r w:rsidR="00294E88">
        <w:t>should</w:t>
      </w:r>
      <w:r>
        <w:t xml:space="preserve"> exclude s</w:t>
      </w:r>
      <w:r w:rsidR="008D3783">
        <w:t>econdary items such as equity investments from net enterprise assets</w:t>
      </w:r>
      <w:r>
        <w:t>.</w:t>
      </w:r>
    </w:p>
    <w:p w:rsidR="001D38D1" w:rsidRDefault="001201CC" w:rsidP="001D38D1">
      <w:pPr>
        <w:pStyle w:val="Heading2"/>
      </w:pPr>
      <w:r w:rsidRPr="001201CC">
        <w:t xml:space="preserve">Key metrics: </w:t>
      </w:r>
      <w:r w:rsidR="00463232">
        <w:t>M</w:t>
      </w:r>
      <w:r w:rsidRPr="001201CC">
        <w:t>argins</w:t>
      </w:r>
      <w:r w:rsidR="00463232">
        <w:t>, net asset turnover, ROIC, and growth rates</w:t>
      </w:r>
    </w:p>
    <w:p w:rsidR="00463232" w:rsidRDefault="00463232" w:rsidP="00463232">
      <w:pPr>
        <w:pStyle w:val="Heading3"/>
      </w:pPr>
      <w:r>
        <w:t>Margins</w:t>
      </w:r>
    </w:p>
    <w:p w:rsidR="001201CC" w:rsidRDefault="001201CC" w:rsidP="00425379">
      <w:pPr>
        <w:pStyle w:val="BodyText"/>
        <w:numPr>
          <w:ilvl w:val="0"/>
          <w:numId w:val="13"/>
        </w:numPr>
      </w:pPr>
      <w:r>
        <w:t>Recurring primary enterprise profit margin after tax</w:t>
      </w:r>
    </w:p>
    <w:p w:rsidR="001201CC" w:rsidRDefault="0030454B" w:rsidP="00425379">
      <w:pPr>
        <w:pStyle w:val="BodyText"/>
        <w:numPr>
          <w:ilvl w:val="0"/>
          <w:numId w:val="13"/>
        </w:numPr>
      </w:pPr>
      <w:r>
        <w:t xml:space="preserve">Average margin = </w:t>
      </w:r>
      <w:r w:rsidR="001201CC">
        <w:t>Sum of 3-yr profits/Sum of 3-yr sales</w:t>
      </w:r>
    </w:p>
    <w:p w:rsidR="00463232" w:rsidRDefault="00463232" w:rsidP="00463232">
      <w:pPr>
        <w:pStyle w:val="Heading3"/>
      </w:pPr>
      <w:r>
        <w:t>Net enterprise asset intensity [1/turnover]</w:t>
      </w:r>
    </w:p>
    <w:p w:rsidR="001201CC" w:rsidRDefault="008C272B" w:rsidP="00425379">
      <w:pPr>
        <w:pStyle w:val="BodyText"/>
        <w:numPr>
          <w:ilvl w:val="0"/>
          <w:numId w:val="13"/>
        </w:numPr>
      </w:pPr>
      <w:r>
        <w:t>Ending p</w:t>
      </w:r>
      <w:r w:rsidR="0030454B">
        <w:t>rimary n</w:t>
      </w:r>
      <w:r w:rsidR="008A32EC" w:rsidRPr="008A32EC">
        <w:t xml:space="preserve">et enterprise assets as </w:t>
      </w:r>
      <w:r w:rsidR="008A32EC">
        <w:t>percent</w:t>
      </w:r>
      <w:r w:rsidR="008A32EC" w:rsidRPr="008A32EC">
        <w:t xml:space="preserve"> of sales</w:t>
      </w:r>
    </w:p>
    <w:p w:rsidR="00463232" w:rsidRDefault="00463232" w:rsidP="00463232">
      <w:pPr>
        <w:pStyle w:val="Heading3"/>
      </w:pPr>
      <w:r>
        <w:t>Return on invested capital</w:t>
      </w:r>
      <w:r w:rsidR="00A91048">
        <w:t xml:space="preserve"> [ROIC]</w:t>
      </w:r>
    </w:p>
    <w:p w:rsidR="00475D7B" w:rsidRDefault="00475D7B" w:rsidP="00425379">
      <w:pPr>
        <w:pStyle w:val="BodyText"/>
        <w:numPr>
          <w:ilvl w:val="0"/>
          <w:numId w:val="13"/>
        </w:numPr>
      </w:pPr>
      <w:r>
        <w:t xml:space="preserve">ROIC = </w:t>
      </w:r>
      <w:smartTag w:uri="urn:schemas-microsoft-com:office:smarttags" w:element="place">
        <w:smartTag w:uri="urn:schemas-microsoft-com:office:smarttags" w:element="City">
          <w:r>
            <w:t>Enterprise</w:t>
          </w:r>
        </w:smartTag>
      </w:smartTag>
      <w:r>
        <w:t xml:space="preserve"> profit after tax/</w:t>
      </w:r>
      <w:r w:rsidR="008C272B">
        <w:t>Ending</w:t>
      </w:r>
      <w:r>
        <w:t xml:space="preserve"> net enterprise assets</w:t>
      </w:r>
    </w:p>
    <w:p w:rsidR="00463232" w:rsidRDefault="00463232" w:rsidP="00463232">
      <w:pPr>
        <w:pStyle w:val="Heading3"/>
      </w:pPr>
      <w:r>
        <w:t>Growth rates</w:t>
      </w:r>
    </w:p>
    <w:p w:rsidR="0030454B" w:rsidRDefault="0030454B" w:rsidP="00425379">
      <w:pPr>
        <w:pStyle w:val="BodyText"/>
        <w:numPr>
          <w:ilvl w:val="0"/>
          <w:numId w:val="13"/>
        </w:numPr>
      </w:pPr>
      <w:r>
        <w:t>Growth rate of sales</w:t>
      </w:r>
    </w:p>
    <w:p w:rsidR="0030454B" w:rsidRDefault="0030454B" w:rsidP="00425379">
      <w:pPr>
        <w:pStyle w:val="BodyText"/>
        <w:numPr>
          <w:ilvl w:val="0"/>
          <w:numId w:val="13"/>
        </w:numPr>
      </w:pPr>
      <w:r>
        <w:t>Growth rate of primary net enterprise assets</w:t>
      </w:r>
    </w:p>
    <w:p w:rsidR="00475D7B" w:rsidRDefault="00475D7B" w:rsidP="00425379">
      <w:pPr>
        <w:pStyle w:val="BodyText"/>
        <w:numPr>
          <w:ilvl w:val="0"/>
          <w:numId w:val="13"/>
        </w:numPr>
      </w:pPr>
      <w:r>
        <w:t>Growth rate of recurring primary enterprise profit after tax</w:t>
      </w:r>
    </w:p>
    <w:p w:rsidR="008A32EC" w:rsidRDefault="0030454B" w:rsidP="00425379">
      <w:pPr>
        <w:pStyle w:val="BodyText"/>
        <w:numPr>
          <w:ilvl w:val="0"/>
          <w:numId w:val="13"/>
        </w:numPr>
      </w:pPr>
      <w:r>
        <w:t>Growth rate of recurring secondary enterprise profit after tax</w:t>
      </w:r>
    </w:p>
    <w:p w:rsidR="008A32EC" w:rsidRDefault="008A32EC" w:rsidP="008A32EC">
      <w:pPr>
        <w:pStyle w:val="Heading1"/>
      </w:pPr>
      <w:r>
        <w:t>Optional items</w:t>
      </w:r>
      <w:r w:rsidR="00213F54">
        <w:t>: Non-recurring and financial items</w:t>
      </w:r>
    </w:p>
    <w:p w:rsidR="001A3C0D" w:rsidRDefault="001A3C0D" w:rsidP="001A3C0D">
      <w:pPr>
        <w:pStyle w:val="BodyText"/>
      </w:pPr>
      <w:r>
        <w:t xml:space="preserve">This </w:t>
      </w:r>
      <w:r w:rsidR="00EC163D">
        <w:t>section</w:t>
      </w:r>
      <w:r>
        <w:t xml:space="preserve"> has the following goal: To show how to extract the data necessary for valuation from the historical income statements. We achieve this goal by showing how to extract recurring enterprise income after tax by splitting the income statement into the following groups:</w:t>
      </w:r>
    </w:p>
    <w:tbl>
      <w:tblPr>
        <w:tblW w:w="0" w:type="auto"/>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75"/>
        <w:gridCol w:w="1945"/>
        <w:gridCol w:w="2165"/>
        <w:gridCol w:w="3137"/>
      </w:tblGrid>
      <w:tr w:rsidR="001A3C0D" w:rsidTr="00B02928">
        <w:trPr>
          <w:cantSplit/>
        </w:trPr>
        <w:tc>
          <w:tcPr>
            <w:tcW w:w="0" w:type="auto"/>
          </w:tcPr>
          <w:p w:rsidR="001A3C0D" w:rsidRDefault="001A3C0D" w:rsidP="00B02928">
            <w:pPr>
              <w:keepNext/>
            </w:pPr>
          </w:p>
        </w:tc>
        <w:tc>
          <w:tcPr>
            <w:tcW w:w="0" w:type="auto"/>
            <w:shd w:val="clear" w:color="auto" w:fill="CCECFF"/>
          </w:tcPr>
          <w:p w:rsidR="001A3C0D" w:rsidRDefault="001A3C0D" w:rsidP="00B02928">
            <w:pPr>
              <w:keepNext/>
            </w:pPr>
            <w:smartTag w:uri="urn:schemas-microsoft-com:office:smarttags" w:element="place">
              <w:smartTag w:uri="urn:schemas-microsoft-com:office:smarttags" w:element="City">
                <w:r>
                  <w:t>Enterprise</w:t>
                </w:r>
              </w:smartTag>
            </w:smartTag>
            <w:r>
              <w:t>: Primary</w:t>
            </w:r>
          </w:p>
        </w:tc>
        <w:tc>
          <w:tcPr>
            <w:tcW w:w="0" w:type="auto"/>
            <w:tcBorders>
              <w:right w:val="triple" w:sz="4" w:space="0" w:color="auto"/>
            </w:tcBorders>
            <w:shd w:val="clear" w:color="auto" w:fill="CCECFF"/>
          </w:tcPr>
          <w:p w:rsidR="001A3C0D" w:rsidRDefault="001A3C0D" w:rsidP="00B02928">
            <w:pPr>
              <w:keepNext/>
            </w:pPr>
            <w:smartTag w:uri="urn:schemas-microsoft-com:office:smarttags" w:element="place">
              <w:smartTag w:uri="urn:schemas-microsoft-com:office:smarttags" w:element="City">
                <w:r>
                  <w:t>Enterprise</w:t>
                </w:r>
              </w:smartTag>
            </w:smartTag>
            <w:r>
              <w:t>: Secondary</w:t>
            </w:r>
          </w:p>
        </w:tc>
        <w:tc>
          <w:tcPr>
            <w:tcW w:w="0" w:type="auto"/>
            <w:tcBorders>
              <w:left w:val="triple" w:sz="4" w:space="0" w:color="auto"/>
            </w:tcBorders>
            <w:shd w:val="clear" w:color="auto" w:fill="CCECFF"/>
          </w:tcPr>
          <w:p w:rsidR="001A3C0D" w:rsidRDefault="001A3C0D" w:rsidP="00B02928">
            <w:pPr>
              <w:keepNext/>
            </w:pPr>
            <w:r>
              <w:t>Financial</w:t>
            </w:r>
          </w:p>
        </w:tc>
      </w:tr>
      <w:tr w:rsidR="001A3C0D" w:rsidTr="00B02928">
        <w:trPr>
          <w:cantSplit/>
        </w:trPr>
        <w:tc>
          <w:tcPr>
            <w:tcW w:w="0" w:type="auto"/>
            <w:shd w:val="clear" w:color="auto" w:fill="E6E6E6"/>
          </w:tcPr>
          <w:p w:rsidR="001A3C0D" w:rsidRDefault="001A3C0D" w:rsidP="00B02928">
            <w:pPr>
              <w:keepNext/>
            </w:pPr>
            <w:r>
              <w:t>Recurring</w:t>
            </w:r>
          </w:p>
        </w:tc>
        <w:tc>
          <w:tcPr>
            <w:tcW w:w="0" w:type="auto"/>
          </w:tcPr>
          <w:p w:rsidR="001A3C0D" w:rsidRDefault="001A3C0D" w:rsidP="00B02928">
            <w:pPr>
              <w:keepNext/>
            </w:pPr>
            <w:r>
              <w:t>Related to sales</w:t>
            </w:r>
          </w:p>
        </w:tc>
        <w:tc>
          <w:tcPr>
            <w:tcW w:w="0" w:type="auto"/>
            <w:tcBorders>
              <w:right w:val="triple" w:sz="4" w:space="0" w:color="auto"/>
            </w:tcBorders>
          </w:tcPr>
          <w:p w:rsidR="001A3C0D" w:rsidRDefault="001A3C0D" w:rsidP="00B02928">
            <w:pPr>
              <w:keepNext/>
            </w:pPr>
            <w:r>
              <w:t>Not-related to sales</w:t>
            </w:r>
          </w:p>
        </w:tc>
        <w:tc>
          <w:tcPr>
            <w:tcW w:w="0" w:type="auto"/>
            <w:tcBorders>
              <w:left w:val="triple" w:sz="4" w:space="0" w:color="auto"/>
            </w:tcBorders>
          </w:tcPr>
          <w:p w:rsidR="001A3C0D" w:rsidRDefault="001A3C0D" w:rsidP="00B02928">
            <w:pPr>
              <w:keepNext/>
            </w:pPr>
            <w:r>
              <w:t>Related to net financial liabilities</w:t>
            </w:r>
          </w:p>
        </w:tc>
      </w:tr>
      <w:tr w:rsidR="001A3C0D" w:rsidTr="00B02928">
        <w:trPr>
          <w:cantSplit/>
        </w:trPr>
        <w:tc>
          <w:tcPr>
            <w:tcW w:w="0" w:type="auto"/>
            <w:shd w:val="clear" w:color="auto" w:fill="E6E6E6"/>
          </w:tcPr>
          <w:p w:rsidR="001A3C0D" w:rsidRDefault="001A3C0D" w:rsidP="00B02928">
            <w:r>
              <w:t>Non-recurring</w:t>
            </w:r>
          </w:p>
        </w:tc>
        <w:tc>
          <w:tcPr>
            <w:tcW w:w="0" w:type="auto"/>
          </w:tcPr>
          <w:p w:rsidR="001A3C0D" w:rsidRDefault="001A3C0D" w:rsidP="00B02928">
            <w:r>
              <w:t>Unpredictable</w:t>
            </w:r>
          </w:p>
        </w:tc>
        <w:tc>
          <w:tcPr>
            <w:tcW w:w="0" w:type="auto"/>
            <w:tcBorders>
              <w:right w:val="triple" w:sz="4" w:space="0" w:color="auto"/>
            </w:tcBorders>
          </w:tcPr>
          <w:p w:rsidR="001A3C0D" w:rsidRDefault="001A3C0D" w:rsidP="00B02928">
            <w:r>
              <w:t>Unpredictable</w:t>
            </w:r>
          </w:p>
        </w:tc>
        <w:tc>
          <w:tcPr>
            <w:tcW w:w="0" w:type="auto"/>
            <w:tcBorders>
              <w:left w:val="triple" w:sz="4" w:space="0" w:color="auto"/>
            </w:tcBorders>
          </w:tcPr>
          <w:p w:rsidR="001A3C0D" w:rsidRDefault="001A3C0D" w:rsidP="00B02928">
            <w:r>
              <w:t>Unpredictable</w:t>
            </w:r>
          </w:p>
        </w:tc>
      </w:tr>
    </w:tbl>
    <w:p w:rsidR="00EC163D" w:rsidRDefault="00EC163D" w:rsidP="00EC163D"/>
    <w:p w:rsidR="001A3C0D" w:rsidRPr="0051372F" w:rsidRDefault="00937C3C" w:rsidP="00425379">
      <w:pPr>
        <w:pStyle w:val="BodyText"/>
        <w:numPr>
          <w:ilvl w:val="0"/>
          <w:numId w:val="11"/>
        </w:numPr>
      </w:pPr>
      <w:smartTag w:uri="urn:schemas-microsoft-com:office:smarttags" w:element="City">
        <w:smartTag w:uri="urn:schemas-microsoft-com:office:smarttags" w:element="place">
          <w:r>
            <w:t>E</w:t>
          </w:r>
          <w:r w:rsidR="001A3C0D">
            <w:t>nterprise</w:t>
          </w:r>
        </w:smartTag>
      </w:smartTag>
      <w:r w:rsidR="001A3C0D">
        <w:t xml:space="preserve"> activities </w:t>
      </w:r>
      <w:r>
        <w:t xml:space="preserve">versus </w:t>
      </w:r>
      <w:r w:rsidR="001A3C0D">
        <w:t>financial activities</w:t>
      </w:r>
      <w:r w:rsidR="00EC163D">
        <w:t xml:space="preserve">: </w:t>
      </w:r>
      <w:r w:rsidR="001A3C0D">
        <w:t xml:space="preserve">Separating </w:t>
      </w:r>
      <w:r w:rsidR="009077A3">
        <w:t xml:space="preserve">enterprise income from financial income allows us to focus on the value creating </w:t>
      </w:r>
      <w:r w:rsidR="001A3C0D">
        <w:t xml:space="preserve">enterprise activities </w:t>
      </w:r>
      <w:r w:rsidR="009077A3">
        <w:t>without being distr</w:t>
      </w:r>
      <w:r w:rsidR="00754483">
        <w:t>acted by value neutral financial</w:t>
      </w:r>
      <w:r w:rsidR="009077A3">
        <w:t xml:space="preserve"> activities</w:t>
      </w:r>
      <w:r w:rsidR="001A3C0D">
        <w:t>.</w:t>
      </w:r>
    </w:p>
    <w:p w:rsidR="001A3C0D" w:rsidRDefault="00937C3C" w:rsidP="00425379">
      <w:pPr>
        <w:pStyle w:val="BodyText"/>
        <w:numPr>
          <w:ilvl w:val="0"/>
          <w:numId w:val="11"/>
        </w:numPr>
      </w:pPr>
      <w:r>
        <w:t>R</w:t>
      </w:r>
      <w:r w:rsidR="001A3C0D">
        <w:t xml:space="preserve">ecurring activities </w:t>
      </w:r>
      <w:r>
        <w:t xml:space="preserve">versus </w:t>
      </w:r>
      <w:r w:rsidR="001A3C0D">
        <w:t>non-recurring activities</w:t>
      </w:r>
      <w:r w:rsidR="00EC163D">
        <w:t xml:space="preserve">: </w:t>
      </w:r>
      <w:r w:rsidR="00355FB2">
        <w:t>Recurring income</w:t>
      </w:r>
      <w:r w:rsidR="001A3C0D">
        <w:t xml:space="preserve"> </w:t>
      </w:r>
      <w:r w:rsidR="00355FB2">
        <w:t xml:space="preserve">has </w:t>
      </w:r>
      <w:r w:rsidR="00192A3D">
        <w:t>a PE multiple</w:t>
      </w:r>
      <w:r w:rsidR="00355FB2">
        <w:t xml:space="preserve"> </w:t>
      </w:r>
      <w:r w:rsidR="008F29FA">
        <w:t xml:space="preserve">of </w:t>
      </w:r>
      <w:r w:rsidR="00355FB2">
        <w:t xml:space="preserve">greater </w:t>
      </w:r>
      <w:r w:rsidR="001A3C0D">
        <w:t xml:space="preserve">than one. The higher the expected growth, the higher the multiple. In contrast, non-recurring </w:t>
      </w:r>
      <w:r w:rsidR="00355FB2">
        <w:t>income</w:t>
      </w:r>
      <w:r w:rsidR="00FA1E81">
        <w:t xml:space="preserve"> has </w:t>
      </w:r>
      <w:r w:rsidR="001A3C0D">
        <w:t>no valuation i</w:t>
      </w:r>
      <w:r w:rsidR="00754483">
        <w:t>mpact beyond the current period, and is not relevant for forecasting.</w:t>
      </w:r>
    </w:p>
    <w:p w:rsidR="001A3C0D" w:rsidRDefault="00937C3C" w:rsidP="00425379">
      <w:pPr>
        <w:pStyle w:val="BodyText"/>
        <w:numPr>
          <w:ilvl w:val="0"/>
          <w:numId w:val="11"/>
        </w:numPr>
      </w:pPr>
      <w:r>
        <w:t>P</w:t>
      </w:r>
      <w:r w:rsidR="001A3C0D">
        <w:t xml:space="preserve">rimary enterprise activities </w:t>
      </w:r>
      <w:r>
        <w:t>versus s</w:t>
      </w:r>
      <w:r w:rsidR="001A3C0D">
        <w:t>econdary enterprise activities</w:t>
      </w:r>
      <w:r w:rsidR="00EC163D">
        <w:t xml:space="preserve">: </w:t>
      </w:r>
      <w:r w:rsidR="001A3C0D">
        <w:t>Primary enterprise activities are related to revenue generation</w:t>
      </w:r>
      <w:r w:rsidR="00A01E74">
        <w:t xml:space="preserve"> and should be separated from secondary activities</w:t>
      </w:r>
      <w:r w:rsidR="001A7A20">
        <w:t xml:space="preserve"> because they have different drivers. Such separation </w:t>
      </w:r>
      <w:r w:rsidR="001A3C0D" w:rsidRPr="00E7053C">
        <w:t>requires judgment</w:t>
      </w:r>
      <w:r w:rsidR="001A7A20">
        <w:t xml:space="preserve"> as one can</w:t>
      </w:r>
      <w:r w:rsidR="001A3C0D" w:rsidRPr="00E7053C">
        <w:t xml:space="preserve">not </w:t>
      </w:r>
      <w:r w:rsidR="009077A3">
        <w:t>merely</w:t>
      </w:r>
      <w:r w:rsidR="001A3C0D" w:rsidRPr="00E7053C">
        <w:t xml:space="preserve"> </w:t>
      </w:r>
      <w:r w:rsidR="009077A3">
        <w:t>follow</w:t>
      </w:r>
      <w:r w:rsidR="001A3C0D" w:rsidRPr="00E7053C">
        <w:t xml:space="preserve"> the classifications reported by the company. Consider a retailer. If the retailer charges membership fees to its shoppers, then it must be offering discounts to its shoppers to entice them to sign up for membership. Thus, the revenue from membership income interacts with the revenue from sale of products or services, and it should be included in primary revenues. In contrast, a retailer may have occasional revenues from the subleasing extra space in few of its stores. Such income may be regarded as other income.</w:t>
      </w:r>
    </w:p>
    <w:p w:rsidR="0085045A" w:rsidRDefault="0085045A" w:rsidP="00C409EB">
      <w:pPr>
        <w:pStyle w:val="Heading2"/>
      </w:pPr>
      <w:r>
        <w:t>Non-recurring secondary enterprise items</w:t>
      </w:r>
    </w:p>
    <w:p w:rsidR="008A32EC" w:rsidRDefault="008A32EC" w:rsidP="00425379">
      <w:pPr>
        <w:pStyle w:val="BodyText"/>
        <w:numPr>
          <w:ilvl w:val="0"/>
          <w:numId w:val="13"/>
        </w:numPr>
      </w:pPr>
      <w:r>
        <w:t xml:space="preserve">Input: </w:t>
      </w:r>
      <w:r w:rsidR="003025C2">
        <w:t>Loss (gain</w:t>
      </w:r>
      <w:r>
        <w:t>) on dispositions [</w:t>
      </w:r>
      <w:r w:rsidR="005526B3">
        <w:t>l</w:t>
      </w:r>
      <w:r w:rsidR="007E3C43">
        <w:t>oss: p</w:t>
      </w:r>
      <w:r w:rsidR="003025C2">
        <w:t>ositive, gain</w:t>
      </w:r>
      <w:r w:rsidR="007E3C43">
        <w:t>: n</w:t>
      </w:r>
      <w:r>
        <w:t>egative]</w:t>
      </w:r>
    </w:p>
    <w:p w:rsidR="008A32EC" w:rsidRDefault="008A32EC" w:rsidP="00425379">
      <w:pPr>
        <w:pStyle w:val="BodyText"/>
        <w:numPr>
          <w:ilvl w:val="0"/>
          <w:numId w:val="13"/>
        </w:numPr>
      </w:pPr>
      <w:r>
        <w:t>Input: Restructuring charges (benefit fro</w:t>
      </w:r>
      <w:r w:rsidR="00353968">
        <w:t>m reversal) [e</w:t>
      </w:r>
      <w:r w:rsidR="007E3C43">
        <w:t>xpense: positive, benefit: n</w:t>
      </w:r>
      <w:r>
        <w:t>egative]</w:t>
      </w:r>
    </w:p>
    <w:p w:rsidR="008A32EC" w:rsidRDefault="007E3C43" w:rsidP="00425379">
      <w:pPr>
        <w:pStyle w:val="BodyText"/>
        <w:numPr>
          <w:ilvl w:val="0"/>
          <w:numId w:val="13"/>
        </w:numPr>
      </w:pPr>
      <w:r>
        <w:t>Input: Asset impairments [expense: p</w:t>
      </w:r>
      <w:r w:rsidR="008A32EC">
        <w:t>ositive]</w:t>
      </w:r>
    </w:p>
    <w:p w:rsidR="008A32EC" w:rsidRDefault="008A32EC" w:rsidP="00425379">
      <w:pPr>
        <w:pStyle w:val="BodyText"/>
        <w:numPr>
          <w:ilvl w:val="0"/>
          <w:numId w:val="13"/>
        </w:numPr>
      </w:pPr>
      <w:r>
        <w:t>Input: Goodwill impairments</w:t>
      </w:r>
      <w:r w:rsidR="007E3C43">
        <w:t xml:space="preserve"> [expense: positive]</w:t>
      </w:r>
    </w:p>
    <w:p w:rsidR="0085045A" w:rsidRDefault="00A5465A" w:rsidP="00425379">
      <w:pPr>
        <w:pStyle w:val="BodyText"/>
        <w:numPr>
          <w:ilvl w:val="0"/>
          <w:numId w:val="13"/>
        </w:numPr>
      </w:pPr>
      <w:r>
        <w:t xml:space="preserve">Input: </w:t>
      </w:r>
      <w:r w:rsidR="002C3D46">
        <w:t>Losses (gain</w:t>
      </w:r>
      <w:r w:rsidR="0085045A">
        <w:t>) from sale of equity investments</w:t>
      </w:r>
      <w:r w:rsidR="007E3C43">
        <w:t xml:space="preserve"> [loss: positive; gain: negative]</w:t>
      </w:r>
    </w:p>
    <w:p w:rsidR="0085045A" w:rsidRDefault="00A5465A" w:rsidP="00425379">
      <w:pPr>
        <w:pStyle w:val="BodyText"/>
        <w:numPr>
          <w:ilvl w:val="0"/>
          <w:numId w:val="13"/>
        </w:numPr>
      </w:pPr>
      <w:r>
        <w:t xml:space="preserve">Input: </w:t>
      </w:r>
      <w:r w:rsidR="0085045A">
        <w:t>Impairment losses on equity investments</w:t>
      </w:r>
      <w:r w:rsidR="00053D4C">
        <w:t xml:space="preserve"> [loss: positive]</w:t>
      </w:r>
    </w:p>
    <w:p w:rsidR="0085045A" w:rsidRDefault="00A5465A" w:rsidP="00425379">
      <w:pPr>
        <w:pStyle w:val="BodyText"/>
        <w:numPr>
          <w:ilvl w:val="0"/>
          <w:numId w:val="13"/>
        </w:numPr>
      </w:pPr>
      <w:r>
        <w:t xml:space="preserve">Input: </w:t>
      </w:r>
      <w:r w:rsidR="0085045A">
        <w:t>Mark-to-market</w:t>
      </w:r>
      <w:r w:rsidR="002C3D46">
        <w:t xml:space="preserve"> losses (</w:t>
      </w:r>
      <w:r w:rsidR="0085045A">
        <w:t>gains</w:t>
      </w:r>
      <w:r w:rsidR="002C3D46">
        <w:t xml:space="preserve">) </w:t>
      </w:r>
      <w:r w:rsidR="0085045A">
        <w:t>on equity investment</w:t>
      </w:r>
      <w:r w:rsidR="002C3D46">
        <w:t>s</w:t>
      </w:r>
      <w:r w:rsidR="0093472D">
        <w:t xml:space="preserve"> [loss: positive]</w:t>
      </w:r>
    </w:p>
    <w:p w:rsidR="0085045A" w:rsidRDefault="00A5465A" w:rsidP="00425379">
      <w:pPr>
        <w:pStyle w:val="BodyText"/>
        <w:numPr>
          <w:ilvl w:val="0"/>
          <w:numId w:val="13"/>
        </w:numPr>
      </w:pPr>
      <w:r>
        <w:t xml:space="preserve">Input: </w:t>
      </w:r>
      <w:r w:rsidR="0085045A">
        <w:t xml:space="preserve">Other </w:t>
      </w:r>
      <w:r w:rsidR="002C3D46">
        <w:t>losses (</w:t>
      </w:r>
      <w:r w:rsidR="0085045A">
        <w:t>gains</w:t>
      </w:r>
      <w:r w:rsidR="002C3D46">
        <w:t>)</w:t>
      </w:r>
      <w:r w:rsidR="007E3C43">
        <w:t xml:space="preserve"> [loss: positive, gain: negative]</w:t>
      </w:r>
    </w:p>
    <w:p w:rsidR="0085045A" w:rsidRDefault="00C409EB" w:rsidP="00425379">
      <w:pPr>
        <w:pStyle w:val="BodyText"/>
        <w:numPr>
          <w:ilvl w:val="0"/>
          <w:numId w:val="13"/>
        </w:numPr>
      </w:pPr>
      <w:r>
        <w:t xml:space="preserve">Subtotal: </w:t>
      </w:r>
      <w:r w:rsidR="0085045A">
        <w:t xml:space="preserve">Non-recurring enterprise </w:t>
      </w:r>
      <w:r w:rsidR="002C3D46">
        <w:t>expense (</w:t>
      </w:r>
      <w:r w:rsidR="0085045A">
        <w:t>income</w:t>
      </w:r>
      <w:r w:rsidR="002C3D46">
        <w:t>)</w:t>
      </w:r>
    </w:p>
    <w:p w:rsidR="0085045A" w:rsidRDefault="0085045A" w:rsidP="00C409EB">
      <w:pPr>
        <w:pStyle w:val="Heading2"/>
      </w:pPr>
      <w:r>
        <w:t>Recurring financial expense (income)</w:t>
      </w:r>
    </w:p>
    <w:p w:rsidR="009F0A26" w:rsidRDefault="00A5465A" w:rsidP="00425379">
      <w:pPr>
        <w:pStyle w:val="BodyText"/>
        <w:numPr>
          <w:ilvl w:val="0"/>
          <w:numId w:val="13"/>
        </w:numPr>
      </w:pPr>
      <w:r>
        <w:t xml:space="preserve">Input: </w:t>
      </w:r>
      <w:r w:rsidR="0085045A">
        <w:t>Reported interest expense [Enter as positive.]</w:t>
      </w:r>
      <w:r w:rsidR="009F0A26">
        <w:t xml:space="preserve">: It should include interest expense from only financial </w:t>
      </w:r>
      <w:r w:rsidR="00D57658">
        <w:t>liabilities</w:t>
      </w:r>
      <w:r w:rsidR="009F0A26">
        <w:t>. For example, if pension and post-retirement health-care liabilities are included in enterprise liabilities, then their interest accretion expense should be included in operating expenses, and thus the operating income. It should not be included in the interest expense.</w:t>
      </w:r>
    </w:p>
    <w:p w:rsidR="009F0A26" w:rsidRDefault="00A5465A" w:rsidP="00425379">
      <w:pPr>
        <w:pStyle w:val="BodyText"/>
        <w:numPr>
          <w:ilvl w:val="0"/>
          <w:numId w:val="13"/>
        </w:numPr>
      </w:pPr>
      <w:r>
        <w:t xml:space="preserve">Input: </w:t>
      </w:r>
      <w:r w:rsidR="0085045A">
        <w:t xml:space="preserve">Reported interest and investment income [Enter as </w:t>
      </w:r>
      <w:r w:rsidR="009E0B77">
        <w:t>NEGATIVE</w:t>
      </w:r>
      <w:r w:rsidR="0085045A">
        <w:t>.]</w:t>
      </w:r>
      <w:r w:rsidR="009F0A26">
        <w:t xml:space="preserve">: It should include </w:t>
      </w:r>
      <w:r w:rsidR="00EC163D">
        <w:t>income</w:t>
      </w:r>
      <w:r w:rsidR="009F0A26">
        <w:t xml:space="preserve"> from only financial </w:t>
      </w:r>
      <w:r w:rsidR="00D57658">
        <w:t>assets</w:t>
      </w:r>
      <w:r w:rsidR="009F0A26">
        <w:t>. For example, if we include the credit card receivables in enterprise assets, then the interest income from such receivables should be included in primary revenues, and thus the operating income. It should not be included in the interest income.</w:t>
      </w:r>
    </w:p>
    <w:p w:rsidR="0085045A" w:rsidRDefault="00113B28" w:rsidP="00425379">
      <w:pPr>
        <w:pStyle w:val="BodyText"/>
        <w:numPr>
          <w:ilvl w:val="0"/>
          <w:numId w:val="13"/>
        </w:numPr>
      </w:pPr>
      <w:r>
        <w:t>Subtotal:</w:t>
      </w:r>
      <w:r w:rsidR="0085045A">
        <w:t xml:space="preserve"> Net recurring financial expense (income), pre-tax</w:t>
      </w:r>
    </w:p>
    <w:p w:rsidR="0085045A" w:rsidRDefault="0085045A" w:rsidP="002422DD">
      <w:pPr>
        <w:pStyle w:val="Heading2"/>
      </w:pPr>
      <w:r>
        <w:t>Non-recurring financial expense (income)</w:t>
      </w:r>
    </w:p>
    <w:p w:rsidR="009F0A26" w:rsidRDefault="00A5465A" w:rsidP="00425379">
      <w:pPr>
        <w:pStyle w:val="BodyText"/>
        <w:numPr>
          <w:ilvl w:val="0"/>
          <w:numId w:val="13"/>
        </w:numPr>
      </w:pPr>
      <w:r>
        <w:t xml:space="preserve">Input: </w:t>
      </w:r>
      <w:r w:rsidR="0085045A">
        <w:t>Reported</w:t>
      </w:r>
      <w:r w:rsidR="009E0B77">
        <w:t xml:space="preserve"> </w:t>
      </w:r>
      <w:r w:rsidR="0085045A">
        <w:t>losses</w:t>
      </w:r>
      <w:r w:rsidR="009E0B77">
        <w:t xml:space="preserve"> (gains) </w:t>
      </w:r>
      <w:r w:rsidR="002415A3">
        <w:t>due to bond buybacks [loss: positive, gain: negative]</w:t>
      </w:r>
      <w:r w:rsidR="009F0A26">
        <w:t>: A non-recurring item that is likely to be missing. Hence, it is shaded gray.</w:t>
      </w:r>
    </w:p>
    <w:p w:rsidR="009F0A26" w:rsidRDefault="00A5465A" w:rsidP="00425379">
      <w:pPr>
        <w:pStyle w:val="BodyText"/>
        <w:numPr>
          <w:ilvl w:val="0"/>
          <w:numId w:val="13"/>
        </w:numPr>
      </w:pPr>
      <w:r>
        <w:t xml:space="preserve">Input: </w:t>
      </w:r>
      <w:r w:rsidR="0085045A">
        <w:t xml:space="preserve">Reported recognized </w:t>
      </w:r>
      <w:r w:rsidR="009E0B77">
        <w:t xml:space="preserve">losses (gains) </w:t>
      </w:r>
      <w:r w:rsidR="0085045A">
        <w:t xml:space="preserve">on financial investments </w:t>
      </w:r>
      <w:r w:rsidR="002415A3">
        <w:t>[loss: positive, gain: negative]</w:t>
      </w:r>
      <w:r w:rsidR="009F0A26">
        <w:t>: A non-recurring item that is likely to be missing. Hence, it is shaded gray.</w:t>
      </w:r>
    </w:p>
    <w:p w:rsidR="0085045A" w:rsidRDefault="009F0A26" w:rsidP="00425379">
      <w:pPr>
        <w:pStyle w:val="BodyText"/>
        <w:numPr>
          <w:ilvl w:val="0"/>
          <w:numId w:val="13"/>
        </w:numPr>
      </w:pPr>
      <w:r>
        <w:t xml:space="preserve">Subtotal: </w:t>
      </w:r>
      <w:r w:rsidR="0085045A">
        <w:t>Net non-recurring financial expense (income), pre-tax</w:t>
      </w:r>
    </w:p>
    <w:p w:rsidR="00AE5142" w:rsidRDefault="00AE5142" w:rsidP="00AE5142">
      <w:pPr>
        <w:pStyle w:val="Heading1"/>
      </w:pPr>
      <w:r>
        <w:t>Summary of questions addressed by spreadsheet</w:t>
      </w:r>
    </w:p>
    <w:p w:rsidR="00AE5142" w:rsidRDefault="00AE5142" w:rsidP="00AE5142">
      <w:pPr>
        <w:pStyle w:val="BodyText"/>
      </w:pPr>
      <w:r>
        <w:t xml:space="preserve">The spreadsheet </w:t>
      </w:r>
      <w:r w:rsidR="00F1708F">
        <w:t>provides historical data to aid forecasting of the three value drivers</w:t>
      </w:r>
      <w:r w:rsidR="00F03093">
        <w:t>. However</w:t>
      </w:r>
      <w:r w:rsidR="00EB7CA0">
        <w:t xml:space="preserve">, it does not </w:t>
      </w:r>
      <w:r w:rsidR="00F03093">
        <w:t>specify</w:t>
      </w:r>
      <w:r w:rsidR="00EB7CA0">
        <w:t xml:space="preserve"> a forecasting algorithm.</w:t>
      </w:r>
      <w:r w:rsidR="00F1708F">
        <w:t xml:space="preserve"> The forecasts developed using this data </w:t>
      </w:r>
      <w:r w:rsidR="000F4635">
        <w:t>should be</w:t>
      </w:r>
      <w:r w:rsidR="00F1708F">
        <w:t xml:space="preserve"> then plugged into VAL1 to check their reasonableness. </w:t>
      </w:r>
      <w:r w:rsidR="000F4635">
        <w:t>The questions below pertain to each value driver.</w:t>
      </w:r>
    </w:p>
    <w:p w:rsidR="00AE5142" w:rsidRDefault="000F4635" w:rsidP="00EB16A3">
      <w:pPr>
        <w:pStyle w:val="BodyText"/>
        <w:numPr>
          <w:ilvl w:val="0"/>
          <w:numId w:val="15"/>
        </w:numPr>
      </w:pPr>
      <w:r>
        <w:t>Based on</w:t>
      </w:r>
      <w:r w:rsidR="00AE5142">
        <w:t xml:space="preserve"> the track record, what is a reasonable estimate of the forthcoming enterprise </w:t>
      </w:r>
      <w:r>
        <w:t>profit margin</w:t>
      </w:r>
      <w:r w:rsidR="00AE5142">
        <w:t>, after taxes? To what extent do non-recurring items</w:t>
      </w:r>
      <w:r>
        <w:t xml:space="preserve"> affect</w:t>
      </w:r>
      <w:r w:rsidR="00AE5142">
        <w:t xml:space="preserve"> this forecast? </w:t>
      </w:r>
    </w:p>
    <w:p w:rsidR="00091E58" w:rsidRDefault="00AE5142" w:rsidP="00EB16A3">
      <w:pPr>
        <w:pStyle w:val="BodyText"/>
        <w:numPr>
          <w:ilvl w:val="0"/>
          <w:numId w:val="15"/>
        </w:numPr>
      </w:pPr>
      <w:r>
        <w:t>What does the firm’s track record tell us about the expected growth in sales? To what extent should the trend the past three years be extrapolated?</w:t>
      </w:r>
      <w:r w:rsidR="00091E58">
        <w:t xml:space="preserve"> </w:t>
      </w:r>
      <w:r w:rsidR="00091E58" w:rsidRPr="00091E58">
        <w:t>Should the stock be viewed as a "growth stock</w:t>
      </w:r>
      <w:r w:rsidR="00091E58">
        <w:t>"?</w:t>
      </w:r>
    </w:p>
    <w:p w:rsidR="00AE5142" w:rsidRDefault="00AE5142" w:rsidP="00EB16A3">
      <w:pPr>
        <w:pStyle w:val="BodyText"/>
        <w:numPr>
          <w:ilvl w:val="0"/>
          <w:numId w:val="15"/>
        </w:numPr>
      </w:pPr>
      <w:r>
        <w:t xml:space="preserve">Can the most recent sales to </w:t>
      </w:r>
      <w:r w:rsidR="000F4635">
        <w:t>net enterprise asset</w:t>
      </w:r>
      <w:r>
        <w:t xml:space="preserve"> ratio serve as the appropriate starting point when one forecasts the ratio for future periods? </w:t>
      </w:r>
      <w:r w:rsidR="000F4635">
        <w:t>Alternatively,</w:t>
      </w:r>
      <w:r>
        <w:t xml:space="preserve"> should </w:t>
      </w:r>
      <w:r w:rsidR="000F4635">
        <w:t xml:space="preserve">one </w:t>
      </w:r>
      <w:r>
        <w:t>consider an average of the</w:t>
      </w:r>
      <w:r w:rsidR="000F4635">
        <w:t xml:space="preserve"> ratio for the past three years?</w:t>
      </w:r>
    </w:p>
    <w:p w:rsidR="00AE5142" w:rsidRDefault="00AE5142" w:rsidP="00AE5142"/>
    <w:p w:rsidR="0087712F" w:rsidRDefault="0087712F" w:rsidP="0087712F"/>
    <w:sectPr w:rsidR="0087712F" w:rsidSect="00465A1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F8" w:rsidRDefault="00B74DF8">
      <w:r>
        <w:separator/>
      </w:r>
    </w:p>
  </w:endnote>
  <w:endnote w:type="continuationSeparator" w:id="0">
    <w:p w:rsidR="00B74DF8" w:rsidRDefault="00B7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75" w:rsidRDefault="00B06375" w:rsidP="00FD3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95E">
      <w:rPr>
        <w:rStyle w:val="PageNumber"/>
        <w:noProof/>
      </w:rPr>
      <w:t>1</w:t>
    </w:r>
    <w:r>
      <w:rPr>
        <w:rStyle w:val="PageNumber"/>
      </w:rPr>
      <w:fldChar w:fldCharType="end"/>
    </w:r>
  </w:p>
  <w:p w:rsidR="00B06375" w:rsidRDefault="00B06375" w:rsidP="00FD3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75" w:rsidRPr="002928C4" w:rsidRDefault="00B06375" w:rsidP="00EC41FC">
    <w:pPr>
      <w:pStyle w:val="Footer"/>
      <w:tabs>
        <w:tab w:val="clear" w:pos="4320"/>
      </w:tabs>
    </w:pPr>
    <w:r>
      <w:fldChar w:fldCharType="begin"/>
    </w:r>
    <w:r>
      <w:instrText xml:space="preserve"> DATE \@ "MMMM d, yyyy" </w:instrText>
    </w:r>
    <w:r>
      <w:fldChar w:fldCharType="separate"/>
    </w:r>
    <w:r w:rsidR="0077410B">
      <w:rPr>
        <w:noProof/>
      </w:rPr>
      <w:t>September 3, 2016</w:t>
    </w:r>
    <w:r>
      <w:fldChar w:fldCharType="end"/>
    </w:r>
    <w:r>
      <w:t xml:space="preserve"> Visit </w:t>
    </w:r>
    <w:hyperlink r:id="rId1" w:history="1">
      <w:r w:rsidRPr="00744C6D">
        <w:rPr>
          <w:rStyle w:val="Hyperlink"/>
        </w:rPr>
        <w:t>http://www.godeohlson.com/</w:t>
      </w:r>
    </w:hyperlink>
    <w:r>
      <w:t xml:space="preserve"> for updates.</w:t>
    </w:r>
    <w:r>
      <w:tab/>
    </w:r>
    <w:r>
      <w:fldChar w:fldCharType="begin"/>
    </w:r>
    <w:r>
      <w:instrText xml:space="preserve"> PAGE </w:instrText>
    </w:r>
    <w:r>
      <w:fldChar w:fldCharType="separate"/>
    </w:r>
    <w:r w:rsidR="007741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F8" w:rsidRDefault="00B74DF8">
      <w:r>
        <w:separator/>
      </w:r>
    </w:p>
  </w:footnote>
  <w:footnote w:type="continuationSeparator" w:id="0">
    <w:p w:rsidR="00B74DF8" w:rsidRDefault="00B7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75" w:rsidRDefault="00B06375" w:rsidP="00491760">
    <w:pPr>
      <w:pStyle w:val="Header"/>
      <w:tabs>
        <w:tab w:val="clear" w:pos="4320"/>
      </w:tabs>
    </w:pPr>
    <w:r w:rsidRPr="00E378E1">
      <w:t xml:space="preserve">Extracting Recurring </w:t>
    </w:r>
    <w:smartTag w:uri="urn:schemas-microsoft-com:office:smarttags" w:element="place">
      <w:smartTag w:uri="urn:schemas-microsoft-com:office:smarttags" w:element="City">
        <w:r w:rsidRPr="00E378E1">
          <w:t>Enterprise</w:t>
        </w:r>
      </w:smartTag>
    </w:smartTag>
    <w:r w:rsidRPr="00E378E1">
      <w:t xml:space="preserve"> Income</w:t>
    </w:r>
    <w:r>
      <w:tab/>
    </w:r>
    <w:r>
      <w:rPr>
        <w:rStyle w:val="PageNumber"/>
      </w:rPr>
      <w:fldChar w:fldCharType="begin"/>
    </w:r>
    <w:r>
      <w:rPr>
        <w:rStyle w:val="PageNumber"/>
      </w:rPr>
      <w:instrText xml:space="preserve"> PAGE </w:instrText>
    </w:r>
    <w:r>
      <w:rPr>
        <w:rStyle w:val="PageNumber"/>
      </w:rPr>
      <w:fldChar w:fldCharType="separate"/>
    </w:r>
    <w:r w:rsidR="0077410B">
      <w:rPr>
        <w:rStyle w:val="PageNumber"/>
        <w:noProof/>
      </w:rPr>
      <w:t>1</w:t>
    </w:r>
    <w:r>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64A6"/>
    <w:multiLevelType w:val="hybridMultilevel"/>
    <w:tmpl w:val="EFA2E2FA"/>
    <w:lvl w:ilvl="0" w:tplc="49C8F9BC">
      <w:start w:val="1"/>
      <w:numFmt w:val="bullet"/>
      <w:pStyle w:val="Indentedlis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D03B9"/>
    <w:multiLevelType w:val="multilevel"/>
    <w:tmpl w:val="29529492"/>
    <w:numStyleLink w:val="ListBulleted"/>
  </w:abstractNum>
  <w:abstractNum w:abstractNumId="2" w15:restartNumberingAfterBreak="0">
    <w:nsid w:val="378A61FE"/>
    <w:multiLevelType w:val="multilevel"/>
    <w:tmpl w:val="E30E3590"/>
    <w:styleLink w:val="List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8A3413"/>
    <w:multiLevelType w:val="hybridMultilevel"/>
    <w:tmpl w:val="73B0B4EA"/>
    <w:lvl w:ilvl="0" w:tplc="21D65D86">
      <w:start w:val="1"/>
      <w:numFmt w:val="bullet"/>
      <w:pStyle w:val="Lis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26C7B"/>
    <w:multiLevelType w:val="multilevel"/>
    <w:tmpl w:val="29529492"/>
    <w:numStyleLink w:val="ListBulleted"/>
  </w:abstractNum>
  <w:abstractNum w:abstractNumId="5" w15:restartNumberingAfterBreak="0">
    <w:nsid w:val="40A132E1"/>
    <w:multiLevelType w:val="multilevel"/>
    <w:tmpl w:val="0228F732"/>
    <w:styleLink w:val="ListMultiple-choiceChar"/>
    <w:lvl w:ilvl="0">
      <w:start w:val="1"/>
      <w:numFmt w:val="lowerLetter"/>
      <w:lvlText w:val="%1."/>
      <w:lvlJc w:val="left"/>
      <w:pPr>
        <w:tabs>
          <w:tab w:val="num" w:pos="1008"/>
        </w:tabs>
        <w:ind w:left="1008" w:hanging="504"/>
      </w:pPr>
      <w:rPr>
        <w:rFonts w:hint="default"/>
      </w:rPr>
    </w:lvl>
    <w:lvl w:ilvl="1">
      <w:start w:val="1"/>
      <w:numFmt w:val="upperLetter"/>
      <w:lvlText w:val="%2."/>
      <w:lvlJc w:val="left"/>
      <w:pPr>
        <w:tabs>
          <w:tab w:val="num" w:pos="1584"/>
        </w:tabs>
        <w:ind w:left="1224" w:firstLine="0"/>
      </w:pPr>
      <w:rPr>
        <w:rFonts w:hint="default"/>
      </w:rPr>
    </w:lvl>
    <w:lvl w:ilvl="2">
      <w:start w:val="1"/>
      <w:numFmt w:val="decimal"/>
      <w:lvlText w:val="%3."/>
      <w:lvlJc w:val="left"/>
      <w:pPr>
        <w:tabs>
          <w:tab w:val="num" w:pos="2304"/>
        </w:tabs>
        <w:ind w:left="1944" w:firstLine="0"/>
      </w:pPr>
      <w:rPr>
        <w:rFonts w:hint="default"/>
      </w:rPr>
    </w:lvl>
    <w:lvl w:ilvl="3">
      <w:start w:val="1"/>
      <w:numFmt w:val="lowerLetter"/>
      <w:lvlText w:val="%4)"/>
      <w:lvlJc w:val="left"/>
      <w:pPr>
        <w:tabs>
          <w:tab w:val="num" w:pos="3024"/>
        </w:tabs>
        <w:ind w:left="2664" w:firstLine="0"/>
      </w:pPr>
      <w:rPr>
        <w:rFonts w:hint="default"/>
      </w:rPr>
    </w:lvl>
    <w:lvl w:ilvl="4">
      <w:start w:val="1"/>
      <w:numFmt w:val="decimal"/>
      <w:lvlText w:val="(%5)"/>
      <w:lvlJc w:val="left"/>
      <w:pPr>
        <w:tabs>
          <w:tab w:val="num" w:pos="3744"/>
        </w:tabs>
        <w:ind w:left="3384" w:firstLine="0"/>
      </w:pPr>
      <w:rPr>
        <w:rFonts w:hint="default"/>
      </w:rPr>
    </w:lvl>
    <w:lvl w:ilvl="5">
      <w:start w:val="1"/>
      <w:numFmt w:val="lowerLetter"/>
      <w:lvlText w:val="(%6)"/>
      <w:lvlJc w:val="left"/>
      <w:pPr>
        <w:tabs>
          <w:tab w:val="num" w:pos="4464"/>
        </w:tabs>
        <w:ind w:left="4104" w:firstLine="0"/>
      </w:pPr>
      <w:rPr>
        <w:rFonts w:hint="default"/>
      </w:rPr>
    </w:lvl>
    <w:lvl w:ilvl="6">
      <w:start w:val="1"/>
      <w:numFmt w:val="lowerRoman"/>
      <w:lvlText w:val="(%7)"/>
      <w:lvlJc w:val="left"/>
      <w:pPr>
        <w:tabs>
          <w:tab w:val="num" w:pos="5184"/>
        </w:tabs>
        <w:ind w:left="4824" w:firstLine="0"/>
      </w:pPr>
      <w:rPr>
        <w:rFonts w:hint="default"/>
      </w:rPr>
    </w:lvl>
    <w:lvl w:ilvl="7">
      <w:start w:val="1"/>
      <w:numFmt w:val="lowerLetter"/>
      <w:lvlText w:val="(%8)"/>
      <w:lvlJc w:val="left"/>
      <w:pPr>
        <w:tabs>
          <w:tab w:val="num" w:pos="5904"/>
        </w:tabs>
        <w:ind w:left="5544" w:firstLine="0"/>
      </w:pPr>
      <w:rPr>
        <w:rFonts w:hint="default"/>
      </w:rPr>
    </w:lvl>
    <w:lvl w:ilvl="8">
      <w:start w:val="1"/>
      <w:numFmt w:val="lowerRoman"/>
      <w:lvlText w:val="(%9)"/>
      <w:lvlJc w:val="left"/>
      <w:pPr>
        <w:tabs>
          <w:tab w:val="num" w:pos="6624"/>
        </w:tabs>
        <w:ind w:left="6264" w:firstLine="0"/>
      </w:pPr>
      <w:rPr>
        <w:rFonts w:hint="default"/>
      </w:rPr>
    </w:lvl>
  </w:abstractNum>
  <w:abstractNum w:abstractNumId="6" w15:restartNumberingAfterBreak="0">
    <w:nsid w:val="48B05B01"/>
    <w:multiLevelType w:val="multilevel"/>
    <w:tmpl w:val="E30E3590"/>
    <w:numStyleLink w:val="ListOutlineNumbered"/>
  </w:abstractNum>
  <w:abstractNum w:abstractNumId="7" w15:restartNumberingAfterBreak="0">
    <w:nsid w:val="541C05C8"/>
    <w:multiLevelType w:val="multilevel"/>
    <w:tmpl w:val="29529492"/>
    <w:numStyleLink w:val="ListBulleted"/>
  </w:abstractNum>
  <w:abstractNum w:abstractNumId="8" w15:restartNumberingAfterBreak="0">
    <w:nsid w:val="658C08DB"/>
    <w:multiLevelType w:val="multilevel"/>
    <w:tmpl w:val="0BDE7F6A"/>
    <w:styleLink w:val="Style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6E070B3"/>
    <w:multiLevelType w:val="multilevel"/>
    <w:tmpl w:val="29529492"/>
    <w:styleLink w:val="ListBulleted"/>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68D048A3"/>
    <w:multiLevelType w:val="multilevel"/>
    <w:tmpl w:val="22883D72"/>
    <w:styleLink w:val="ListBulletedIndented"/>
    <w:lvl w:ilvl="0">
      <w:start w:val="1"/>
      <w:numFmt w:val="bullet"/>
      <w:lvlText w:val=""/>
      <w:lvlJc w:val="left"/>
      <w:pPr>
        <w:tabs>
          <w:tab w:val="num" w:pos="1008"/>
        </w:tabs>
        <w:ind w:left="1008" w:hanging="504"/>
      </w:pPr>
      <w:rPr>
        <w:rFonts w:ascii="Wingdings" w:hAnsi="Wingdings" w:hint="default"/>
      </w:rPr>
    </w:lvl>
    <w:lvl w:ilvl="1">
      <w:start w:val="1"/>
      <w:numFmt w:val="bullet"/>
      <w:lvlText w:val=""/>
      <w:lvlJc w:val="left"/>
      <w:pPr>
        <w:tabs>
          <w:tab w:val="num" w:pos="1512"/>
        </w:tabs>
        <w:ind w:left="1512" w:hanging="504"/>
      </w:pPr>
      <w:rPr>
        <w:rFonts w:ascii="Wingdings" w:hAnsi="Wingdings" w:hint="default"/>
      </w:rPr>
    </w:lvl>
    <w:lvl w:ilvl="2">
      <w:start w:val="1"/>
      <w:numFmt w:val="bullet"/>
      <w:lvlText w:val=""/>
      <w:lvlJc w:val="left"/>
      <w:pPr>
        <w:tabs>
          <w:tab w:val="num" w:pos="2016"/>
        </w:tabs>
        <w:ind w:left="2016" w:hanging="504"/>
      </w:pPr>
      <w:rPr>
        <w:rFonts w:ascii="Wingdings" w:hAnsi="Wingdings" w:hint="default"/>
      </w:rPr>
    </w:lvl>
    <w:lvl w:ilvl="3">
      <w:start w:val="1"/>
      <w:numFmt w:val="bullet"/>
      <w:lvlText w:val=""/>
      <w:lvlJc w:val="left"/>
      <w:pPr>
        <w:tabs>
          <w:tab w:val="num" w:pos="2520"/>
        </w:tabs>
        <w:ind w:left="2520" w:hanging="504"/>
      </w:pPr>
      <w:rPr>
        <w:rFonts w:ascii="Wingdings" w:hAnsi="Wingdings" w:hint="default"/>
      </w:rPr>
    </w:lvl>
    <w:lvl w:ilvl="4">
      <w:start w:val="1"/>
      <w:numFmt w:val="bullet"/>
      <w:lvlText w:val=""/>
      <w:lvlJc w:val="left"/>
      <w:pPr>
        <w:tabs>
          <w:tab w:val="num" w:pos="2304"/>
        </w:tabs>
        <w:ind w:left="2304" w:hanging="360"/>
      </w:pPr>
      <w:rPr>
        <w:rFonts w:ascii="Symbol" w:hAnsi="Symbol" w:hint="default"/>
      </w:rPr>
    </w:lvl>
    <w:lvl w:ilvl="5">
      <w:start w:val="1"/>
      <w:numFmt w:val="bullet"/>
      <w:lvlText w:val=""/>
      <w:lvlJc w:val="left"/>
      <w:pPr>
        <w:tabs>
          <w:tab w:val="num" w:pos="2664"/>
        </w:tabs>
        <w:ind w:left="2664" w:hanging="360"/>
      </w:pPr>
      <w:rPr>
        <w:rFonts w:ascii="Wingdings" w:hAnsi="Wingdings" w:hint="default"/>
      </w:rPr>
    </w:lvl>
    <w:lvl w:ilvl="6">
      <w:start w:val="1"/>
      <w:numFmt w:val="bullet"/>
      <w:lvlText w:val=""/>
      <w:lvlJc w:val="left"/>
      <w:pPr>
        <w:tabs>
          <w:tab w:val="num" w:pos="3024"/>
        </w:tabs>
        <w:ind w:left="3024" w:hanging="360"/>
      </w:pPr>
      <w:rPr>
        <w:rFonts w:ascii="Wingdings" w:hAnsi="Wingdings" w:hint="default"/>
      </w:rPr>
    </w:lvl>
    <w:lvl w:ilvl="7">
      <w:start w:val="1"/>
      <w:numFmt w:val="bullet"/>
      <w:lvlText w:val=""/>
      <w:lvlJc w:val="left"/>
      <w:pPr>
        <w:tabs>
          <w:tab w:val="num" w:pos="3384"/>
        </w:tabs>
        <w:ind w:left="3384" w:hanging="360"/>
      </w:pPr>
      <w:rPr>
        <w:rFonts w:ascii="Symbol" w:hAnsi="Symbol" w:hint="default"/>
      </w:rPr>
    </w:lvl>
    <w:lvl w:ilvl="8">
      <w:start w:val="1"/>
      <w:numFmt w:val="bullet"/>
      <w:lvlText w:val=""/>
      <w:lvlJc w:val="left"/>
      <w:pPr>
        <w:tabs>
          <w:tab w:val="num" w:pos="3744"/>
        </w:tabs>
        <w:ind w:left="3744" w:hanging="360"/>
      </w:pPr>
      <w:rPr>
        <w:rFonts w:ascii="Symbol" w:hAnsi="Symbol" w:hint="default"/>
      </w:rPr>
    </w:lvl>
  </w:abstractNum>
  <w:abstractNum w:abstractNumId="11" w15:restartNumberingAfterBreak="0">
    <w:nsid w:val="68E60213"/>
    <w:multiLevelType w:val="multilevel"/>
    <w:tmpl w:val="E30E3590"/>
    <w:numStyleLink w:val="ListOutlineNumbered"/>
  </w:abstractNum>
  <w:abstractNum w:abstractNumId="12" w15:restartNumberingAfterBreak="0">
    <w:nsid w:val="6D7E59F0"/>
    <w:multiLevelType w:val="multilevel"/>
    <w:tmpl w:val="50EE0E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1DB3044"/>
    <w:multiLevelType w:val="multilevel"/>
    <w:tmpl w:val="9A4CBF2E"/>
    <w:styleLink w:val="StyleCharOutlinenumbered"/>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CB170BD"/>
    <w:multiLevelType w:val="multilevel"/>
    <w:tmpl w:val="29529492"/>
    <w:numStyleLink w:val="ListBulleted"/>
  </w:abstractNum>
  <w:num w:numId="1">
    <w:abstractNumId w:val="12"/>
  </w:num>
  <w:num w:numId="2">
    <w:abstractNumId w:val="9"/>
  </w:num>
  <w:num w:numId="3">
    <w:abstractNumId w:val="10"/>
  </w:num>
  <w:num w:numId="4">
    <w:abstractNumId w:val="5"/>
  </w:num>
  <w:num w:numId="5">
    <w:abstractNumId w:val="2"/>
  </w:num>
  <w:num w:numId="6">
    <w:abstractNumId w:val="0"/>
  </w:num>
  <w:num w:numId="7">
    <w:abstractNumId w:val="3"/>
  </w:num>
  <w:num w:numId="8">
    <w:abstractNumId w:val="8"/>
  </w:num>
  <w:num w:numId="9">
    <w:abstractNumId w:val="13"/>
  </w:num>
  <w:num w:numId="10">
    <w:abstractNumId w:val="14"/>
  </w:num>
  <w:num w:numId="11">
    <w:abstractNumId w:val="1"/>
  </w:num>
  <w:num w:numId="12">
    <w:abstractNumId w:val="4"/>
  </w:num>
  <w:num w:numId="13">
    <w:abstractNumId w:val="11"/>
  </w:num>
  <w:num w:numId="14">
    <w:abstractNumId w:val="7"/>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ru v:ext="edit" colors="#ccecff"/>
    </o:shapedefaults>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E6"/>
    <w:rsid w:val="00002164"/>
    <w:rsid w:val="00003C95"/>
    <w:rsid w:val="000059B2"/>
    <w:rsid w:val="00015689"/>
    <w:rsid w:val="00026688"/>
    <w:rsid w:val="00035691"/>
    <w:rsid w:val="00037E70"/>
    <w:rsid w:val="00044FBE"/>
    <w:rsid w:val="00047FBB"/>
    <w:rsid w:val="00053D4C"/>
    <w:rsid w:val="000636E6"/>
    <w:rsid w:val="00077BD3"/>
    <w:rsid w:val="00082AA8"/>
    <w:rsid w:val="00090397"/>
    <w:rsid w:val="00091E58"/>
    <w:rsid w:val="000940B5"/>
    <w:rsid w:val="000967A5"/>
    <w:rsid w:val="000A17AA"/>
    <w:rsid w:val="000B5D9E"/>
    <w:rsid w:val="000B7F16"/>
    <w:rsid w:val="000D59F4"/>
    <w:rsid w:val="000F4635"/>
    <w:rsid w:val="000F7D29"/>
    <w:rsid w:val="00102CD3"/>
    <w:rsid w:val="00113B28"/>
    <w:rsid w:val="00115C52"/>
    <w:rsid w:val="001201CC"/>
    <w:rsid w:val="001269AA"/>
    <w:rsid w:val="00126AF0"/>
    <w:rsid w:val="001279D4"/>
    <w:rsid w:val="0013195E"/>
    <w:rsid w:val="00142C06"/>
    <w:rsid w:val="00144CAA"/>
    <w:rsid w:val="00157131"/>
    <w:rsid w:val="00160BF6"/>
    <w:rsid w:val="001663DA"/>
    <w:rsid w:val="0017657E"/>
    <w:rsid w:val="001841F1"/>
    <w:rsid w:val="00192A3D"/>
    <w:rsid w:val="0019531B"/>
    <w:rsid w:val="00195DAD"/>
    <w:rsid w:val="00196E56"/>
    <w:rsid w:val="001A3C0D"/>
    <w:rsid w:val="001A7A20"/>
    <w:rsid w:val="001C1CDD"/>
    <w:rsid w:val="001D38D1"/>
    <w:rsid w:val="00202972"/>
    <w:rsid w:val="0021096C"/>
    <w:rsid w:val="00212143"/>
    <w:rsid w:val="00213F54"/>
    <w:rsid w:val="00216B9D"/>
    <w:rsid w:val="00220A83"/>
    <w:rsid w:val="00226E0C"/>
    <w:rsid w:val="0023412C"/>
    <w:rsid w:val="002359EA"/>
    <w:rsid w:val="00236484"/>
    <w:rsid w:val="002415A3"/>
    <w:rsid w:val="002422DD"/>
    <w:rsid w:val="00243E87"/>
    <w:rsid w:val="0025230A"/>
    <w:rsid w:val="00263DBB"/>
    <w:rsid w:val="00287426"/>
    <w:rsid w:val="002928C4"/>
    <w:rsid w:val="00294E88"/>
    <w:rsid w:val="002B1B62"/>
    <w:rsid w:val="002B6586"/>
    <w:rsid w:val="002C3D46"/>
    <w:rsid w:val="002C4A8E"/>
    <w:rsid w:val="002C4AC1"/>
    <w:rsid w:val="002D6954"/>
    <w:rsid w:val="002D6E9E"/>
    <w:rsid w:val="002E1F5F"/>
    <w:rsid w:val="002E542C"/>
    <w:rsid w:val="002E7026"/>
    <w:rsid w:val="002F04BE"/>
    <w:rsid w:val="002F383A"/>
    <w:rsid w:val="003025C2"/>
    <w:rsid w:val="0030454B"/>
    <w:rsid w:val="0030553E"/>
    <w:rsid w:val="00306D30"/>
    <w:rsid w:val="00310560"/>
    <w:rsid w:val="00323C22"/>
    <w:rsid w:val="0032547D"/>
    <w:rsid w:val="0032768F"/>
    <w:rsid w:val="003517BC"/>
    <w:rsid w:val="00352E4C"/>
    <w:rsid w:val="00353968"/>
    <w:rsid w:val="003554C1"/>
    <w:rsid w:val="00355FB2"/>
    <w:rsid w:val="003A2584"/>
    <w:rsid w:val="003A570F"/>
    <w:rsid w:val="003B2E42"/>
    <w:rsid w:val="003B78F3"/>
    <w:rsid w:val="003E77D9"/>
    <w:rsid w:val="003F2700"/>
    <w:rsid w:val="003F6B46"/>
    <w:rsid w:val="004003DD"/>
    <w:rsid w:val="0040176A"/>
    <w:rsid w:val="004031EE"/>
    <w:rsid w:val="00422D2B"/>
    <w:rsid w:val="00422E40"/>
    <w:rsid w:val="00425379"/>
    <w:rsid w:val="00444F06"/>
    <w:rsid w:val="004458B4"/>
    <w:rsid w:val="00454637"/>
    <w:rsid w:val="00463232"/>
    <w:rsid w:val="00465A10"/>
    <w:rsid w:val="00473224"/>
    <w:rsid w:val="00475B6A"/>
    <w:rsid w:val="00475D7B"/>
    <w:rsid w:val="00491760"/>
    <w:rsid w:val="004A2296"/>
    <w:rsid w:val="004A3E05"/>
    <w:rsid w:val="004B200C"/>
    <w:rsid w:val="004B3984"/>
    <w:rsid w:val="004C1EA9"/>
    <w:rsid w:val="004C685E"/>
    <w:rsid w:val="004F22CE"/>
    <w:rsid w:val="004F7F88"/>
    <w:rsid w:val="00502F82"/>
    <w:rsid w:val="0050305C"/>
    <w:rsid w:val="00506F3A"/>
    <w:rsid w:val="00507AE6"/>
    <w:rsid w:val="005103B6"/>
    <w:rsid w:val="005132CC"/>
    <w:rsid w:val="0051372F"/>
    <w:rsid w:val="00523B07"/>
    <w:rsid w:val="005254DF"/>
    <w:rsid w:val="00551D3A"/>
    <w:rsid w:val="005526B3"/>
    <w:rsid w:val="00553B3F"/>
    <w:rsid w:val="0055492B"/>
    <w:rsid w:val="005568F0"/>
    <w:rsid w:val="00560C47"/>
    <w:rsid w:val="00572DC8"/>
    <w:rsid w:val="00576BDF"/>
    <w:rsid w:val="00576DE3"/>
    <w:rsid w:val="0059785E"/>
    <w:rsid w:val="005A4681"/>
    <w:rsid w:val="005B101A"/>
    <w:rsid w:val="005C0124"/>
    <w:rsid w:val="005C4B66"/>
    <w:rsid w:val="005C4F05"/>
    <w:rsid w:val="005D236B"/>
    <w:rsid w:val="005D3DCA"/>
    <w:rsid w:val="005D4497"/>
    <w:rsid w:val="005D5BFF"/>
    <w:rsid w:val="005E3D43"/>
    <w:rsid w:val="005F6055"/>
    <w:rsid w:val="0060721B"/>
    <w:rsid w:val="00615F4C"/>
    <w:rsid w:val="006214E6"/>
    <w:rsid w:val="00623C9E"/>
    <w:rsid w:val="00627A43"/>
    <w:rsid w:val="00636E79"/>
    <w:rsid w:val="00644D68"/>
    <w:rsid w:val="0064526F"/>
    <w:rsid w:val="00651BFA"/>
    <w:rsid w:val="00651FD3"/>
    <w:rsid w:val="00670246"/>
    <w:rsid w:val="00680680"/>
    <w:rsid w:val="006A1E1D"/>
    <w:rsid w:val="006A2D1D"/>
    <w:rsid w:val="006C2260"/>
    <w:rsid w:val="006C3726"/>
    <w:rsid w:val="006D1A13"/>
    <w:rsid w:val="006E2DC1"/>
    <w:rsid w:val="006F0C0D"/>
    <w:rsid w:val="006F33CF"/>
    <w:rsid w:val="006F774F"/>
    <w:rsid w:val="00707CD8"/>
    <w:rsid w:val="00713D23"/>
    <w:rsid w:val="00730E0C"/>
    <w:rsid w:val="00735DC3"/>
    <w:rsid w:val="00754483"/>
    <w:rsid w:val="0076069A"/>
    <w:rsid w:val="0077410B"/>
    <w:rsid w:val="007766C7"/>
    <w:rsid w:val="007805E1"/>
    <w:rsid w:val="00780D22"/>
    <w:rsid w:val="00783D2B"/>
    <w:rsid w:val="00785D61"/>
    <w:rsid w:val="007915E9"/>
    <w:rsid w:val="007A79B5"/>
    <w:rsid w:val="007C02E9"/>
    <w:rsid w:val="007E103F"/>
    <w:rsid w:val="007E2EFC"/>
    <w:rsid w:val="007E3C43"/>
    <w:rsid w:val="007F2ED6"/>
    <w:rsid w:val="007F538B"/>
    <w:rsid w:val="00802E9A"/>
    <w:rsid w:val="00815C16"/>
    <w:rsid w:val="008404E7"/>
    <w:rsid w:val="00850337"/>
    <w:rsid w:val="0085045A"/>
    <w:rsid w:val="00851ECA"/>
    <w:rsid w:val="00854513"/>
    <w:rsid w:val="00855AAA"/>
    <w:rsid w:val="00866F9C"/>
    <w:rsid w:val="00871C2C"/>
    <w:rsid w:val="0087712F"/>
    <w:rsid w:val="00886C40"/>
    <w:rsid w:val="008956D1"/>
    <w:rsid w:val="008A32EC"/>
    <w:rsid w:val="008B6D4E"/>
    <w:rsid w:val="008C1083"/>
    <w:rsid w:val="008C272B"/>
    <w:rsid w:val="008D1734"/>
    <w:rsid w:val="008D3783"/>
    <w:rsid w:val="008E4D4E"/>
    <w:rsid w:val="008E5F5A"/>
    <w:rsid w:val="008E7AC1"/>
    <w:rsid w:val="008F29FA"/>
    <w:rsid w:val="009046CE"/>
    <w:rsid w:val="009077A3"/>
    <w:rsid w:val="00912830"/>
    <w:rsid w:val="00931B73"/>
    <w:rsid w:val="0093472D"/>
    <w:rsid w:val="009365FE"/>
    <w:rsid w:val="00937C3C"/>
    <w:rsid w:val="00953353"/>
    <w:rsid w:val="009535D5"/>
    <w:rsid w:val="00982900"/>
    <w:rsid w:val="00984222"/>
    <w:rsid w:val="009855B9"/>
    <w:rsid w:val="00992CD5"/>
    <w:rsid w:val="009C7AEB"/>
    <w:rsid w:val="009E0B77"/>
    <w:rsid w:val="009E107E"/>
    <w:rsid w:val="009E1EEB"/>
    <w:rsid w:val="009F0A26"/>
    <w:rsid w:val="009F23A2"/>
    <w:rsid w:val="009F749E"/>
    <w:rsid w:val="00A0031F"/>
    <w:rsid w:val="00A01E74"/>
    <w:rsid w:val="00A026F4"/>
    <w:rsid w:val="00A05D67"/>
    <w:rsid w:val="00A21C5D"/>
    <w:rsid w:val="00A410B2"/>
    <w:rsid w:val="00A52511"/>
    <w:rsid w:val="00A5465A"/>
    <w:rsid w:val="00A64160"/>
    <w:rsid w:val="00A6560F"/>
    <w:rsid w:val="00A82948"/>
    <w:rsid w:val="00A84B7E"/>
    <w:rsid w:val="00A91048"/>
    <w:rsid w:val="00A9561C"/>
    <w:rsid w:val="00A9708D"/>
    <w:rsid w:val="00AA0F2E"/>
    <w:rsid w:val="00AA255B"/>
    <w:rsid w:val="00AA34CA"/>
    <w:rsid w:val="00AB2140"/>
    <w:rsid w:val="00AD5EF8"/>
    <w:rsid w:val="00AE1854"/>
    <w:rsid w:val="00AE5142"/>
    <w:rsid w:val="00AE693B"/>
    <w:rsid w:val="00B02928"/>
    <w:rsid w:val="00B06375"/>
    <w:rsid w:val="00B230AA"/>
    <w:rsid w:val="00B23317"/>
    <w:rsid w:val="00B27EFF"/>
    <w:rsid w:val="00B3324F"/>
    <w:rsid w:val="00B3687D"/>
    <w:rsid w:val="00B41AB0"/>
    <w:rsid w:val="00B50571"/>
    <w:rsid w:val="00B50BA2"/>
    <w:rsid w:val="00B54826"/>
    <w:rsid w:val="00B571A7"/>
    <w:rsid w:val="00B61FE6"/>
    <w:rsid w:val="00B6644E"/>
    <w:rsid w:val="00B74DF8"/>
    <w:rsid w:val="00B82AAC"/>
    <w:rsid w:val="00B90487"/>
    <w:rsid w:val="00BA502D"/>
    <w:rsid w:val="00BB2A42"/>
    <w:rsid w:val="00BB56A9"/>
    <w:rsid w:val="00BC32DC"/>
    <w:rsid w:val="00BE1977"/>
    <w:rsid w:val="00BE3FC7"/>
    <w:rsid w:val="00BF67B0"/>
    <w:rsid w:val="00BF6BC0"/>
    <w:rsid w:val="00C147AB"/>
    <w:rsid w:val="00C1656B"/>
    <w:rsid w:val="00C1762F"/>
    <w:rsid w:val="00C228C0"/>
    <w:rsid w:val="00C273D4"/>
    <w:rsid w:val="00C409EB"/>
    <w:rsid w:val="00C413BF"/>
    <w:rsid w:val="00C41D3E"/>
    <w:rsid w:val="00C43F5C"/>
    <w:rsid w:val="00C458DA"/>
    <w:rsid w:val="00C54F8C"/>
    <w:rsid w:val="00C61170"/>
    <w:rsid w:val="00C63C69"/>
    <w:rsid w:val="00C94B01"/>
    <w:rsid w:val="00C97B7B"/>
    <w:rsid w:val="00CA1020"/>
    <w:rsid w:val="00CB4BD1"/>
    <w:rsid w:val="00CB71DC"/>
    <w:rsid w:val="00CB723D"/>
    <w:rsid w:val="00CB7B01"/>
    <w:rsid w:val="00CC1481"/>
    <w:rsid w:val="00CC4196"/>
    <w:rsid w:val="00CC5709"/>
    <w:rsid w:val="00CC7562"/>
    <w:rsid w:val="00CD3FD3"/>
    <w:rsid w:val="00CE2B27"/>
    <w:rsid w:val="00CE61E4"/>
    <w:rsid w:val="00CF13B9"/>
    <w:rsid w:val="00CF20D8"/>
    <w:rsid w:val="00CF4EE7"/>
    <w:rsid w:val="00CF78CA"/>
    <w:rsid w:val="00D018A7"/>
    <w:rsid w:val="00D122B3"/>
    <w:rsid w:val="00D25FB4"/>
    <w:rsid w:val="00D4296A"/>
    <w:rsid w:val="00D57658"/>
    <w:rsid w:val="00D62ED5"/>
    <w:rsid w:val="00D64D9B"/>
    <w:rsid w:val="00D64E92"/>
    <w:rsid w:val="00D70EF0"/>
    <w:rsid w:val="00D87CD2"/>
    <w:rsid w:val="00D953DD"/>
    <w:rsid w:val="00D96160"/>
    <w:rsid w:val="00DA6320"/>
    <w:rsid w:val="00DB5FE7"/>
    <w:rsid w:val="00DC5F82"/>
    <w:rsid w:val="00DE64F3"/>
    <w:rsid w:val="00DF1CBA"/>
    <w:rsid w:val="00E10EF4"/>
    <w:rsid w:val="00E12691"/>
    <w:rsid w:val="00E12D5E"/>
    <w:rsid w:val="00E23621"/>
    <w:rsid w:val="00E248E3"/>
    <w:rsid w:val="00E25C53"/>
    <w:rsid w:val="00E33A6F"/>
    <w:rsid w:val="00E34782"/>
    <w:rsid w:val="00E378E1"/>
    <w:rsid w:val="00E44631"/>
    <w:rsid w:val="00E458C8"/>
    <w:rsid w:val="00E507B5"/>
    <w:rsid w:val="00E551C7"/>
    <w:rsid w:val="00E57B2F"/>
    <w:rsid w:val="00E7053C"/>
    <w:rsid w:val="00E7157B"/>
    <w:rsid w:val="00E720E5"/>
    <w:rsid w:val="00E74C96"/>
    <w:rsid w:val="00E80F36"/>
    <w:rsid w:val="00E831A3"/>
    <w:rsid w:val="00E85E23"/>
    <w:rsid w:val="00E8750B"/>
    <w:rsid w:val="00EB031D"/>
    <w:rsid w:val="00EB16A3"/>
    <w:rsid w:val="00EB191A"/>
    <w:rsid w:val="00EB7CA0"/>
    <w:rsid w:val="00EC163D"/>
    <w:rsid w:val="00EC41FC"/>
    <w:rsid w:val="00ED32FA"/>
    <w:rsid w:val="00ED6A5E"/>
    <w:rsid w:val="00EF7073"/>
    <w:rsid w:val="00F03093"/>
    <w:rsid w:val="00F1708F"/>
    <w:rsid w:val="00F23CD8"/>
    <w:rsid w:val="00F37947"/>
    <w:rsid w:val="00F46037"/>
    <w:rsid w:val="00F547D4"/>
    <w:rsid w:val="00F93274"/>
    <w:rsid w:val="00FA1E81"/>
    <w:rsid w:val="00FB06E2"/>
    <w:rsid w:val="00FD361A"/>
    <w:rsid w:val="00FE48C1"/>
    <w:rsid w:val="00FE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6145">
      <o:colormru v:ext="edit" colors="#ccecff"/>
    </o:shapedefaults>
    <o:shapelayout v:ext="edit">
      <o:idmap v:ext="edit" data="1"/>
    </o:shapelayout>
  </w:shapeDefaults>
  <w:decimalSymbol w:val="."/>
  <w:listSeparator w:val=","/>
  <w15:docId w15:val="{EEFC0D03-E000-439D-A64A-8B3E1EB5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954"/>
    <w:pPr>
      <w:jc w:val="both"/>
    </w:pPr>
    <w:rPr>
      <w:kern w:val="22"/>
      <w:sz w:val="22"/>
      <w:szCs w:val="24"/>
    </w:rPr>
  </w:style>
  <w:style w:type="paragraph" w:styleId="Heading1">
    <w:name w:val="heading 1"/>
    <w:basedOn w:val="Normal"/>
    <w:next w:val="Normal"/>
    <w:qFormat/>
    <w:rsid w:val="002D6954"/>
    <w:pPr>
      <w:keepNext/>
      <w:numPr>
        <w:numId w:val="1"/>
      </w:numPr>
      <w:spacing w:before="120" w:after="120"/>
      <w:outlineLvl w:val="0"/>
    </w:pPr>
    <w:rPr>
      <w:rFonts w:ascii="Arial" w:hAnsi="Arial"/>
      <w:b/>
      <w:bCs/>
      <w:color w:val="000080"/>
      <w:sz w:val="28"/>
      <w:szCs w:val="32"/>
    </w:rPr>
  </w:style>
  <w:style w:type="paragraph" w:styleId="Heading2">
    <w:name w:val="heading 2"/>
    <w:basedOn w:val="Normal"/>
    <w:next w:val="Normal"/>
    <w:qFormat/>
    <w:rsid w:val="002D6954"/>
    <w:pPr>
      <w:keepNext/>
      <w:numPr>
        <w:ilvl w:val="1"/>
        <w:numId w:val="1"/>
      </w:numPr>
      <w:spacing w:before="240" w:after="60"/>
      <w:outlineLvl w:val="1"/>
    </w:pPr>
    <w:rPr>
      <w:rFonts w:ascii="Arial" w:hAnsi="Arial"/>
      <w:b/>
      <w:bCs/>
      <w:iCs/>
      <w:color w:val="000080"/>
      <w:sz w:val="24"/>
    </w:rPr>
  </w:style>
  <w:style w:type="paragraph" w:styleId="Heading3">
    <w:name w:val="heading 3"/>
    <w:basedOn w:val="Normal"/>
    <w:next w:val="Normal"/>
    <w:qFormat/>
    <w:rsid w:val="002D6954"/>
    <w:pPr>
      <w:keepNext/>
      <w:numPr>
        <w:ilvl w:val="2"/>
        <w:numId w:val="1"/>
      </w:numPr>
      <w:spacing w:before="180" w:after="60"/>
      <w:outlineLvl w:val="2"/>
    </w:pPr>
    <w:rPr>
      <w:rFonts w:ascii="Arial" w:hAnsi="Arial" w:cs="Arial"/>
      <w:b/>
      <w:bCs/>
      <w:i/>
      <w:color w:val="000080"/>
    </w:rPr>
  </w:style>
  <w:style w:type="paragraph" w:styleId="Heading4">
    <w:name w:val="heading 4"/>
    <w:basedOn w:val="Normal"/>
    <w:next w:val="Normal"/>
    <w:qFormat/>
    <w:rsid w:val="002D6954"/>
    <w:pPr>
      <w:keepNext/>
      <w:numPr>
        <w:ilvl w:val="3"/>
        <w:numId w:val="1"/>
      </w:numPr>
      <w:spacing w:before="120" w:after="60"/>
      <w:outlineLvl w:val="3"/>
    </w:pPr>
    <w:rPr>
      <w:b/>
      <w:bCs/>
      <w:kern w:val="0"/>
      <w:szCs w:val="28"/>
    </w:rPr>
  </w:style>
  <w:style w:type="paragraph" w:styleId="Heading5">
    <w:name w:val="heading 5"/>
    <w:basedOn w:val="Normal"/>
    <w:next w:val="Normal"/>
    <w:qFormat/>
    <w:rsid w:val="002D6954"/>
    <w:pPr>
      <w:numPr>
        <w:ilvl w:val="4"/>
        <w:numId w:val="1"/>
      </w:numPr>
      <w:spacing w:before="240" w:after="60"/>
      <w:outlineLvl w:val="4"/>
    </w:pPr>
    <w:rPr>
      <w:b/>
      <w:bCs/>
      <w:i/>
      <w:iCs/>
      <w:sz w:val="26"/>
      <w:szCs w:val="26"/>
    </w:rPr>
  </w:style>
  <w:style w:type="paragraph" w:styleId="Heading6">
    <w:name w:val="heading 6"/>
    <w:basedOn w:val="Normal"/>
    <w:next w:val="Normal"/>
    <w:qFormat/>
    <w:rsid w:val="002D6954"/>
    <w:pPr>
      <w:numPr>
        <w:ilvl w:val="5"/>
        <w:numId w:val="1"/>
      </w:numPr>
      <w:spacing w:before="240" w:after="60"/>
      <w:outlineLvl w:val="5"/>
    </w:pPr>
    <w:rPr>
      <w:b/>
      <w:bCs/>
      <w:szCs w:val="22"/>
    </w:rPr>
  </w:style>
  <w:style w:type="paragraph" w:styleId="Heading7">
    <w:name w:val="heading 7"/>
    <w:basedOn w:val="Normal"/>
    <w:next w:val="Normal"/>
    <w:qFormat/>
    <w:rsid w:val="002D6954"/>
    <w:pPr>
      <w:numPr>
        <w:ilvl w:val="6"/>
        <w:numId w:val="1"/>
      </w:numPr>
      <w:spacing w:before="240" w:after="60"/>
      <w:outlineLvl w:val="6"/>
    </w:pPr>
  </w:style>
  <w:style w:type="paragraph" w:styleId="Heading8">
    <w:name w:val="heading 8"/>
    <w:basedOn w:val="Normal"/>
    <w:next w:val="Normal"/>
    <w:qFormat/>
    <w:rsid w:val="002D6954"/>
    <w:pPr>
      <w:numPr>
        <w:ilvl w:val="7"/>
        <w:numId w:val="1"/>
      </w:numPr>
      <w:spacing w:before="240" w:after="60"/>
      <w:outlineLvl w:val="7"/>
    </w:pPr>
    <w:rPr>
      <w:i/>
      <w:iCs/>
    </w:rPr>
  </w:style>
  <w:style w:type="paragraph" w:styleId="Heading9">
    <w:name w:val="heading 9"/>
    <w:basedOn w:val="Normal"/>
    <w:next w:val="Normal"/>
    <w:qFormat/>
    <w:rsid w:val="002D6954"/>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rsid w:val="002D6954"/>
    <w:pPr>
      <w:spacing w:before="120" w:after="240"/>
      <w:ind w:left="720" w:hanging="720"/>
    </w:pPr>
  </w:style>
  <w:style w:type="paragraph" w:customStyle="1" w:styleId="6pointSpacer">
    <w:name w:val="6pointSpacer"/>
    <w:basedOn w:val="Normal"/>
    <w:rsid w:val="00CE2B27"/>
    <w:rPr>
      <w:sz w:val="12"/>
      <w:szCs w:val="12"/>
    </w:rPr>
  </w:style>
  <w:style w:type="paragraph" w:styleId="BodyText">
    <w:name w:val="Body Text"/>
    <w:basedOn w:val="Normal"/>
    <w:rsid w:val="002D6954"/>
    <w:pPr>
      <w:spacing w:after="120"/>
    </w:pPr>
  </w:style>
  <w:style w:type="paragraph" w:styleId="Caption">
    <w:name w:val="caption"/>
    <w:basedOn w:val="Normal"/>
    <w:next w:val="Normal"/>
    <w:qFormat/>
    <w:rsid w:val="002D6954"/>
    <w:pPr>
      <w:keepNext/>
      <w:spacing w:before="120" w:after="120"/>
    </w:pPr>
    <w:rPr>
      <w:b/>
      <w:bCs/>
      <w:szCs w:val="20"/>
    </w:rPr>
  </w:style>
  <w:style w:type="paragraph" w:customStyle="1" w:styleId="CenteredCaption">
    <w:name w:val="CenteredCaption"/>
    <w:basedOn w:val="Caption"/>
    <w:rsid w:val="002D6954"/>
    <w:pPr>
      <w:jc w:val="center"/>
    </w:pPr>
  </w:style>
  <w:style w:type="character" w:customStyle="1" w:styleId="Emphasize">
    <w:name w:val="Emphasize"/>
    <w:rsid w:val="002D6954"/>
    <w:rPr>
      <w:b/>
      <w:color w:val="000080"/>
    </w:rPr>
  </w:style>
  <w:style w:type="paragraph" w:styleId="Header">
    <w:name w:val="header"/>
    <w:basedOn w:val="Normal"/>
    <w:rsid w:val="00CE2B27"/>
    <w:pPr>
      <w:tabs>
        <w:tab w:val="center" w:pos="4320"/>
        <w:tab w:val="right" w:pos="9360"/>
      </w:tabs>
    </w:pPr>
    <w:rPr>
      <w:rFonts w:ascii="Arial" w:hAnsi="Arial"/>
      <w:sz w:val="16"/>
    </w:rPr>
  </w:style>
  <w:style w:type="character" w:customStyle="1" w:styleId="Italicize">
    <w:name w:val="Italicize"/>
    <w:rsid w:val="00CE2B27"/>
    <w:rPr>
      <w:i/>
      <w:color w:val="003399"/>
    </w:rPr>
  </w:style>
  <w:style w:type="paragraph" w:customStyle="1" w:styleId="Left1">
    <w:name w:val="Left:1"/>
    <w:basedOn w:val="Normal"/>
    <w:rsid w:val="00CE2B27"/>
    <w:pPr>
      <w:ind w:left="504"/>
    </w:pPr>
  </w:style>
  <w:style w:type="paragraph" w:customStyle="1" w:styleId="Left2">
    <w:name w:val="Left:2"/>
    <w:basedOn w:val="Normal"/>
    <w:rsid w:val="00CE2B27"/>
    <w:pPr>
      <w:ind w:left="1008"/>
    </w:pPr>
  </w:style>
  <w:style w:type="paragraph" w:customStyle="1" w:styleId="Left3">
    <w:name w:val="Left:3"/>
    <w:basedOn w:val="Normal"/>
    <w:rsid w:val="00CE2B27"/>
    <w:pPr>
      <w:ind w:left="1800"/>
    </w:pPr>
  </w:style>
  <w:style w:type="paragraph" w:customStyle="1" w:styleId="Left4">
    <w:name w:val="Left:4"/>
    <w:basedOn w:val="Normal"/>
    <w:rsid w:val="00CE2B27"/>
    <w:pPr>
      <w:ind w:left="2736"/>
    </w:pPr>
  </w:style>
  <w:style w:type="numbering" w:customStyle="1" w:styleId="ListBulleted">
    <w:name w:val="List Bulleted"/>
    <w:basedOn w:val="NoList"/>
    <w:rsid w:val="002D6954"/>
    <w:pPr>
      <w:numPr>
        <w:numId w:val="2"/>
      </w:numPr>
    </w:pPr>
  </w:style>
  <w:style w:type="numbering" w:customStyle="1" w:styleId="ListBulletedIndented">
    <w:name w:val="List Bulleted Indented"/>
    <w:basedOn w:val="NoList"/>
    <w:rsid w:val="00CE2B27"/>
    <w:pPr>
      <w:numPr>
        <w:numId w:val="3"/>
      </w:numPr>
    </w:pPr>
  </w:style>
  <w:style w:type="numbering" w:customStyle="1" w:styleId="ListMultiple-choiceChar">
    <w:name w:val="List Multiple-choice Char"/>
    <w:basedOn w:val="NoList"/>
    <w:rsid w:val="00CE2B27"/>
    <w:pPr>
      <w:numPr>
        <w:numId w:val="4"/>
      </w:numPr>
    </w:pPr>
  </w:style>
  <w:style w:type="numbering" w:customStyle="1" w:styleId="ListOutlineChar">
    <w:name w:val="List Outline Char"/>
    <w:rsid w:val="00CE2B27"/>
  </w:style>
  <w:style w:type="numbering" w:customStyle="1" w:styleId="ListOutlineNumbered">
    <w:name w:val="List Outline Numbered"/>
    <w:basedOn w:val="NoList"/>
    <w:rsid w:val="00CE2B27"/>
    <w:pPr>
      <w:numPr>
        <w:numId w:val="5"/>
      </w:numPr>
    </w:pPr>
  </w:style>
  <w:style w:type="paragraph" w:styleId="Subtitle">
    <w:name w:val="Subtitle"/>
    <w:basedOn w:val="Normal"/>
    <w:qFormat/>
    <w:rsid w:val="002D6954"/>
    <w:pPr>
      <w:spacing w:before="120" w:after="120"/>
      <w:jc w:val="center"/>
      <w:outlineLvl w:val="1"/>
    </w:pPr>
    <w:rPr>
      <w:rFonts w:ascii="Arial" w:hAnsi="Arial" w:cs="Arial"/>
      <w:color w:val="000080"/>
    </w:rPr>
  </w:style>
  <w:style w:type="paragraph" w:customStyle="1" w:styleId="TableCentered">
    <w:name w:val="TableCentered"/>
    <w:basedOn w:val="Normal"/>
    <w:rsid w:val="00CE2B27"/>
    <w:pPr>
      <w:jc w:val="center"/>
    </w:pPr>
    <w:rPr>
      <w:szCs w:val="20"/>
    </w:rPr>
  </w:style>
  <w:style w:type="paragraph" w:customStyle="1" w:styleId="TableLeftText">
    <w:name w:val="TableLeftText"/>
    <w:basedOn w:val="Normal"/>
    <w:rsid w:val="00CE2B27"/>
  </w:style>
  <w:style w:type="paragraph" w:customStyle="1" w:styleId="TableRightText">
    <w:name w:val="TableRightText"/>
    <w:basedOn w:val="Normal"/>
    <w:rsid w:val="00CE2B27"/>
    <w:pPr>
      <w:jc w:val="right"/>
    </w:pPr>
  </w:style>
  <w:style w:type="paragraph" w:styleId="Title">
    <w:name w:val="Title"/>
    <w:basedOn w:val="Normal"/>
    <w:qFormat/>
    <w:rsid w:val="002D6954"/>
    <w:pPr>
      <w:spacing w:before="240" w:after="60"/>
      <w:jc w:val="center"/>
      <w:outlineLvl w:val="0"/>
    </w:pPr>
    <w:rPr>
      <w:rFonts w:ascii="Arial" w:hAnsi="Arial" w:cs="Arial"/>
      <w:b/>
      <w:bCs/>
      <w:smallCaps/>
      <w:color w:val="000080"/>
      <w:kern w:val="28"/>
      <w:sz w:val="28"/>
      <w:szCs w:val="32"/>
    </w:rPr>
  </w:style>
  <w:style w:type="character" w:customStyle="1" w:styleId="Answer">
    <w:name w:val="Answer"/>
    <w:rsid w:val="00CE2B27"/>
    <w:rPr>
      <w:b/>
      <w:i/>
      <w:u w:val="single"/>
      <w:bdr w:val="none" w:sz="0" w:space="0" w:color="auto"/>
      <w:shd w:val="clear" w:color="auto" w:fill="FFFF99"/>
    </w:rPr>
  </w:style>
  <w:style w:type="paragraph" w:customStyle="1" w:styleId="GCaptionBoldCentered">
    <w:name w:val="GCaptionBoldCentered"/>
    <w:basedOn w:val="Normal"/>
    <w:rsid w:val="00202972"/>
    <w:pPr>
      <w:keepNext/>
      <w:jc w:val="center"/>
    </w:pPr>
    <w:rPr>
      <w:b/>
      <w:color w:val="000099"/>
      <w:sz w:val="24"/>
    </w:rPr>
  </w:style>
  <w:style w:type="paragraph" w:styleId="Footer">
    <w:name w:val="footer"/>
    <w:basedOn w:val="Normal"/>
    <w:rsid w:val="002D6954"/>
    <w:pPr>
      <w:tabs>
        <w:tab w:val="center" w:pos="4320"/>
        <w:tab w:val="right" w:pos="9360"/>
      </w:tabs>
    </w:pPr>
    <w:rPr>
      <w:rFonts w:ascii="Arial" w:hAnsi="Arial"/>
      <w:sz w:val="16"/>
    </w:rPr>
  </w:style>
  <w:style w:type="character" w:styleId="PageNumber">
    <w:name w:val="page number"/>
    <w:basedOn w:val="DefaultParagraphFont"/>
    <w:rsid w:val="00FD361A"/>
  </w:style>
  <w:style w:type="paragraph" w:customStyle="1" w:styleId="CoverText">
    <w:name w:val="CoverText"/>
    <w:basedOn w:val="Normal"/>
    <w:rsid w:val="002D6954"/>
    <w:pPr>
      <w:jc w:val="center"/>
    </w:pPr>
  </w:style>
  <w:style w:type="paragraph" w:styleId="BodyText3">
    <w:name w:val="Body Text 3"/>
    <w:basedOn w:val="Normal"/>
    <w:rsid w:val="002D6954"/>
    <w:rPr>
      <w:sz w:val="18"/>
      <w:szCs w:val="16"/>
    </w:rPr>
  </w:style>
  <w:style w:type="paragraph" w:styleId="BodyTextFirstIndent">
    <w:name w:val="Body Text First Indent"/>
    <w:basedOn w:val="BodyText"/>
    <w:rsid w:val="002D6954"/>
    <w:pPr>
      <w:spacing w:line="480" w:lineRule="auto"/>
      <w:ind w:firstLine="432"/>
    </w:pPr>
  </w:style>
  <w:style w:type="paragraph" w:styleId="FootnoteText">
    <w:name w:val="footnote text"/>
    <w:basedOn w:val="Normal"/>
    <w:rsid w:val="002D6954"/>
    <w:rPr>
      <w:sz w:val="20"/>
      <w:szCs w:val="20"/>
    </w:rPr>
  </w:style>
  <w:style w:type="paragraph" w:customStyle="1" w:styleId="CenterTable">
    <w:name w:val="CenterTable"/>
    <w:basedOn w:val="Normal"/>
    <w:rsid w:val="002D6954"/>
    <w:pPr>
      <w:jc w:val="center"/>
    </w:pPr>
  </w:style>
  <w:style w:type="numbering" w:customStyle="1" w:styleId="StyleOutlinenumbered">
    <w:name w:val="Style Outline numbered"/>
    <w:basedOn w:val="NoList"/>
    <w:rsid w:val="002D6954"/>
    <w:pPr>
      <w:numPr>
        <w:numId w:val="8"/>
      </w:numPr>
    </w:pPr>
  </w:style>
  <w:style w:type="paragraph" w:customStyle="1" w:styleId="StyleLeft14">
    <w:name w:val="Style Left:  1.4&quot;"/>
    <w:basedOn w:val="Normal"/>
    <w:rsid w:val="002D6954"/>
    <w:pPr>
      <w:ind w:left="2016"/>
    </w:pPr>
    <w:rPr>
      <w:szCs w:val="22"/>
    </w:rPr>
  </w:style>
  <w:style w:type="paragraph" w:customStyle="1" w:styleId="StyleLeft105">
    <w:name w:val="Style Left:  1.05&quot;"/>
    <w:basedOn w:val="Normal"/>
    <w:rsid w:val="002D6954"/>
    <w:pPr>
      <w:ind w:left="1512"/>
    </w:pPr>
    <w:rPr>
      <w:szCs w:val="20"/>
    </w:rPr>
  </w:style>
  <w:style w:type="paragraph" w:customStyle="1" w:styleId="StyleLeft07">
    <w:name w:val="Style Left:  0.7&quot;"/>
    <w:basedOn w:val="Normal"/>
    <w:rsid w:val="002D6954"/>
    <w:pPr>
      <w:ind w:left="1008"/>
    </w:pPr>
    <w:rPr>
      <w:szCs w:val="20"/>
    </w:rPr>
  </w:style>
  <w:style w:type="paragraph" w:customStyle="1" w:styleId="StyleLeft035">
    <w:name w:val="Style Left:  0.35&quot;"/>
    <w:basedOn w:val="Normal"/>
    <w:rsid w:val="002D6954"/>
    <w:pPr>
      <w:ind w:left="504"/>
    </w:pPr>
    <w:rPr>
      <w:szCs w:val="20"/>
    </w:rPr>
  </w:style>
  <w:style w:type="paragraph" w:customStyle="1" w:styleId="Indentedlist">
    <w:name w:val="Indented list"/>
    <w:basedOn w:val="Normal"/>
    <w:rsid w:val="002D6954"/>
    <w:pPr>
      <w:numPr>
        <w:numId w:val="6"/>
      </w:numPr>
      <w:tabs>
        <w:tab w:val="clear" w:pos="1008"/>
        <w:tab w:val="num" w:pos="360"/>
      </w:tabs>
      <w:ind w:left="0" w:firstLine="0"/>
    </w:pPr>
    <w:rPr>
      <w:szCs w:val="22"/>
    </w:rPr>
  </w:style>
  <w:style w:type="paragraph" w:styleId="List">
    <w:name w:val="List"/>
    <w:basedOn w:val="Normal"/>
    <w:rsid w:val="002D6954"/>
    <w:pPr>
      <w:numPr>
        <w:numId w:val="7"/>
      </w:numPr>
      <w:tabs>
        <w:tab w:val="clear" w:pos="504"/>
        <w:tab w:val="num" w:pos="360"/>
      </w:tabs>
      <w:ind w:left="0" w:firstLine="0"/>
    </w:pPr>
    <w:rPr>
      <w:szCs w:val="22"/>
    </w:rPr>
  </w:style>
  <w:style w:type="numbering" w:customStyle="1" w:styleId="StyleCharOutlinenumbered">
    <w:name w:val="Style Char Outline numbered"/>
    <w:basedOn w:val="NoList"/>
    <w:rsid w:val="002D6954"/>
    <w:pPr>
      <w:numPr>
        <w:numId w:val="9"/>
      </w:numPr>
    </w:pPr>
  </w:style>
  <w:style w:type="table" w:styleId="TableGrid">
    <w:name w:val="Table Grid"/>
    <w:basedOn w:val="TableNormal"/>
    <w:rsid w:val="00BB56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C4"/>
    <w:rPr>
      <w:color w:val="0000FF"/>
      <w:u w:val="single"/>
    </w:rPr>
  </w:style>
  <w:style w:type="paragraph" w:styleId="BalloonText">
    <w:name w:val="Balloon Text"/>
    <w:basedOn w:val="Normal"/>
    <w:link w:val="BalloonTextChar"/>
    <w:rsid w:val="00636E79"/>
    <w:rPr>
      <w:rFonts w:ascii="Tahoma" w:hAnsi="Tahoma" w:cs="Tahoma"/>
      <w:sz w:val="16"/>
      <w:szCs w:val="16"/>
    </w:rPr>
  </w:style>
  <w:style w:type="character" w:customStyle="1" w:styleId="BalloonTextChar">
    <w:name w:val="Balloon Text Char"/>
    <w:link w:val="BalloonText"/>
    <w:rsid w:val="00636E79"/>
    <w:rPr>
      <w:rFonts w:ascii="Tahoma" w:hAnsi="Tahoma" w:cs="Tahoma"/>
      <w:kern w:val="22"/>
      <w:sz w:val="16"/>
      <w:szCs w:val="16"/>
    </w:rPr>
  </w:style>
  <w:style w:type="paragraph" w:styleId="ListParagraph">
    <w:name w:val="List Paragraph"/>
    <w:basedOn w:val="Normal"/>
    <w:uiPriority w:val="34"/>
    <w:qFormat/>
    <w:rsid w:val="00090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71740">
      <w:bodyDiv w:val="1"/>
      <w:marLeft w:val="0"/>
      <w:marRight w:val="0"/>
      <w:marTop w:val="0"/>
      <w:marBottom w:val="0"/>
      <w:divBdr>
        <w:top w:val="none" w:sz="0" w:space="0" w:color="auto"/>
        <w:left w:val="none" w:sz="0" w:space="0" w:color="auto"/>
        <w:bottom w:val="none" w:sz="0" w:space="0" w:color="auto"/>
        <w:right w:val="none" w:sz="0" w:space="0" w:color="auto"/>
      </w:divBdr>
    </w:div>
    <w:div w:id="829979997">
      <w:bodyDiv w:val="1"/>
      <w:marLeft w:val="0"/>
      <w:marRight w:val="0"/>
      <w:marTop w:val="0"/>
      <w:marBottom w:val="0"/>
      <w:divBdr>
        <w:top w:val="none" w:sz="0" w:space="0" w:color="auto"/>
        <w:left w:val="none" w:sz="0" w:space="0" w:color="auto"/>
        <w:bottom w:val="none" w:sz="0" w:space="0" w:color="auto"/>
        <w:right w:val="none" w:sz="0" w:space="0" w:color="auto"/>
      </w:divBdr>
    </w:div>
    <w:div w:id="9845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odeohl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de\AppData\Roaming\Microsoft\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paper.dotx</Template>
  <TotalTime>36</TotalTime>
  <Pages>2</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Extracting Recurring Enterprise Income</vt:lpstr>
    </vt:vector>
  </TitlesOfParts>
  <Manager>http://www.godeohlson.com</Manager>
  <Company>paper.dot</Company>
  <LinksUpToDate>false</LinksUpToDate>
  <CharactersWithSpaces>11851</CharactersWithSpaces>
  <SharedDoc>false</SharedDoc>
  <HLinks>
    <vt:vector size="6" baseType="variant">
      <vt:variant>
        <vt:i4>2752545</vt:i4>
      </vt:variant>
      <vt:variant>
        <vt:i4>8</vt:i4>
      </vt:variant>
      <vt:variant>
        <vt:i4>0</vt:i4>
      </vt:variant>
      <vt:variant>
        <vt:i4>5</vt:i4>
      </vt:variant>
      <vt:variant>
        <vt:lpwstr>http://www.godeohlson.com/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Extracting Recurring Enterprise Income</dc:title>
  <dc:subject>Financial Statement Analysis and Valuation</dc:subject>
  <dc:creator>Dan Gode and James Ohlson</dc:creator>
  <cp:keywords/>
  <dc:description/>
  <cp:lastModifiedBy>Dan Gode</cp:lastModifiedBy>
  <cp:revision>22</cp:revision>
  <cp:lastPrinted>2013-03-15T17:19:00Z</cp:lastPrinted>
  <dcterms:created xsi:type="dcterms:W3CDTF">2012-01-08T20:33:00Z</dcterms:created>
  <dcterms:modified xsi:type="dcterms:W3CDTF">2016-09-03T23:01:00Z</dcterms:modified>
</cp:coreProperties>
</file>