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8C" w:rsidRDefault="000F0180" w:rsidP="008D718C">
      <w:pPr>
        <w:pStyle w:val="Title"/>
      </w:pPr>
      <w:bookmarkStart w:id="0" w:name="_GoBack"/>
      <w:bookmarkEnd w:id="0"/>
      <w:r>
        <w:t>IRR</w:t>
      </w:r>
      <w:r w:rsidR="00766BF9">
        <w:t xml:space="preserve"> and </w:t>
      </w:r>
      <w:r w:rsidR="006C53B1">
        <w:t xml:space="preserve">Multiperiod </w:t>
      </w:r>
      <w:r>
        <w:t>ROE</w:t>
      </w:r>
    </w:p>
    <w:p w:rsidR="009F63C8" w:rsidRDefault="003B0DC8" w:rsidP="009F63C8">
      <w:pPr>
        <w:pStyle w:val="Subtitle"/>
      </w:pPr>
      <w:r>
        <w:t xml:space="preserve">© </w:t>
      </w:r>
      <w:r w:rsidR="009F63C8">
        <w:t>Dan Gode and James Ohlson</w:t>
      </w:r>
    </w:p>
    <w:p w:rsidR="00731D25" w:rsidRPr="00731D25" w:rsidRDefault="00731D25" w:rsidP="00792754">
      <w:pPr>
        <w:pStyle w:val="Heading1"/>
      </w:pPr>
      <w:r>
        <w:t>Overview</w:t>
      </w:r>
    </w:p>
    <w:p w:rsidR="00E3541C" w:rsidRDefault="004A1F58" w:rsidP="00E3541C">
      <w:pPr>
        <w:pStyle w:val="BodyText"/>
      </w:pPr>
      <w:r w:rsidRPr="004A1F58">
        <w:t>Analysts examine summary measures of past performance</w:t>
      </w:r>
      <w:r w:rsidR="00221727">
        <w:t xml:space="preserve"> </w:t>
      </w:r>
      <w:r w:rsidR="000F7B6F">
        <w:t xml:space="preserve">such as ROE </w:t>
      </w:r>
      <w:r w:rsidR="00221727">
        <w:t xml:space="preserve">to </w:t>
      </w:r>
      <w:r w:rsidR="001734DA">
        <w:t>assess a firm’s track record.</w:t>
      </w:r>
      <w:r w:rsidR="000F7B6F">
        <w:t xml:space="preserve"> T</w:t>
      </w:r>
      <w:r w:rsidRPr="004A1F58">
        <w:t>he</w:t>
      </w:r>
      <w:r w:rsidR="000F7B6F">
        <w:t>se</w:t>
      </w:r>
      <w:r w:rsidRPr="004A1F58">
        <w:t xml:space="preserve"> traditional </w:t>
      </w:r>
      <w:r w:rsidR="001734DA">
        <w:t xml:space="preserve">summary </w:t>
      </w:r>
      <w:r w:rsidRPr="004A1F58">
        <w:t xml:space="preserve">measures </w:t>
      </w:r>
      <w:r>
        <w:t xml:space="preserve">are </w:t>
      </w:r>
      <w:r w:rsidR="001734DA">
        <w:t xml:space="preserve">distorted by </w:t>
      </w:r>
      <w:r>
        <w:t>non-recurring items</w:t>
      </w:r>
      <w:r w:rsidR="00221727">
        <w:t xml:space="preserve"> </w:t>
      </w:r>
      <w:r w:rsidRPr="004A1F58">
        <w:t xml:space="preserve">and </w:t>
      </w:r>
      <w:r>
        <w:t>conservatism</w:t>
      </w:r>
      <w:r w:rsidRPr="004A1F58">
        <w:t>.</w:t>
      </w:r>
      <w:r w:rsidR="00221727">
        <w:t xml:space="preserve"> </w:t>
      </w:r>
      <w:r w:rsidR="000F7B6F">
        <w:t>T</w:t>
      </w:r>
      <w:r w:rsidR="00221727">
        <w:t>o mitigate</w:t>
      </w:r>
      <w:r w:rsidR="00C3118B">
        <w:t xml:space="preserve"> these problems, the</w:t>
      </w:r>
      <w:r w:rsidR="00E3541C">
        <w:t xml:space="preserve"> spreadsheet </w:t>
      </w:r>
      <w:r w:rsidR="001734DA">
        <w:t>develops the following summary measures:</w:t>
      </w:r>
    </w:p>
    <w:p w:rsidR="00CD120B" w:rsidRDefault="00DE4A41" w:rsidP="00DE4A41">
      <w:pPr>
        <w:pStyle w:val="BodyText"/>
        <w:numPr>
          <w:ilvl w:val="0"/>
          <w:numId w:val="33"/>
        </w:numPr>
      </w:pPr>
      <w:r w:rsidRPr="00DE4A41">
        <w:t>I</w:t>
      </w:r>
      <w:r>
        <w:t>nternal rate of return (I</w:t>
      </w:r>
      <w:r w:rsidRPr="00DE4A41">
        <w:t>RR</w:t>
      </w:r>
      <w:r>
        <w:t xml:space="preserve">): Our implementation of IRR </w:t>
      </w:r>
      <w:r w:rsidRPr="00DE4A41">
        <w:t xml:space="preserve">assumes </w:t>
      </w:r>
      <w:r w:rsidR="00CD120B">
        <w:t xml:space="preserve">that the firm is bought at its book value at the beginning of the measurement period and is sold at its book value at the end of the measurement period. The buyer also receives the dividends during the holding period. </w:t>
      </w:r>
      <w:r>
        <w:t>If IRR exceeds cost of equity, the firm has generated shareholder value, and vice versa.</w:t>
      </w:r>
      <w:r w:rsidR="00071BBE">
        <w:t xml:space="preserve"> The IRR computation assumes that had the dividends been reinvested during the measurement period, they would have continued to earn the internal rate of return.</w:t>
      </w:r>
    </w:p>
    <w:p w:rsidR="00CD120B" w:rsidRDefault="00DE4A41" w:rsidP="00CD120B">
      <w:pPr>
        <w:pStyle w:val="BodyText"/>
        <w:numPr>
          <w:ilvl w:val="0"/>
          <w:numId w:val="33"/>
        </w:numPr>
      </w:pPr>
      <w:r>
        <w:t>M</w:t>
      </w:r>
      <w:r w:rsidR="007C44C1">
        <w:t>ultiperiod</w:t>
      </w:r>
      <w:r w:rsidR="004B07D1">
        <w:t xml:space="preserve"> ROE</w:t>
      </w:r>
      <w:r>
        <w:t xml:space="preserve">: </w:t>
      </w:r>
      <w:r w:rsidR="007D6BB3">
        <w:t xml:space="preserve"> </w:t>
      </w:r>
      <w:r w:rsidR="00CD120B">
        <w:t>The ROE computation</w:t>
      </w:r>
      <w:r>
        <w:t>s make</w:t>
      </w:r>
      <w:r w:rsidR="00CD120B">
        <w:t xml:space="preserve"> the same assumptions as </w:t>
      </w:r>
      <w:r>
        <w:t xml:space="preserve">those </w:t>
      </w:r>
      <w:r w:rsidR="00CD120B">
        <w:t xml:space="preserve">for the IRR except that </w:t>
      </w:r>
      <w:r w:rsidR="005D2FD0">
        <w:t xml:space="preserve">the ROE assumes that </w:t>
      </w:r>
      <w:r w:rsidR="00CD120B">
        <w:t xml:space="preserve">dividends </w:t>
      </w:r>
      <w:r w:rsidR="005D2FD0">
        <w:t xml:space="preserve">reinvested in the firm </w:t>
      </w:r>
      <w:r>
        <w:t xml:space="preserve">during the measurement period </w:t>
      </w:r>
      <w:r w:rsidR="007D6BB3">
        <w:t>earn</w:t>
      </w:r>
      <w:r w:rsidR="00CD120B">
        <w:t xml:space="preserve"> the cost of equity instead of </w:t>
      </w:r>
      <w:r w:rsidR="007D6BB3">
        <w:t xml:space="preserve">earning </w:t>
      </w:r>
      <w:r w:rsidR="00CD120B">
        <w:t xml:space="preserve">the IRR. Therefore, IRR equals ROE if </w:t>
      </w:r>
      <w:r w:rsidR="007D6BB3">
        <w:t xml:space="preserve">and only if </w:t>
      </w:r>
      <w:r w:rsidR="00CD120B">
        <w:t>IRR equals cost of equity.</w:t>
      </w:r>
    </w:p>
    <w:p w:rsidR="00DE4A41" w:rsidRDefault="00071BBE" w:rsidP="00071BBE">
      <w:pPr>
        <w:pStyle w:val="BodyText"/>
      </w:pPr>
      <w:r>
        <w:t>The IRR computation does not require an external s</w:t>
      </w:r>
      <w:r w:rsidR="005A47FC">
        <w:t xml:space="preserve">pecification of the cost of equity, but </w:t>
      </w:r>
      <w:r>
        <w:t xml:space="preserve">the ROE computation does. However, the </w:t>
      </w:r>
      <w:r w:rsidR="005A47FC">
        <w:t xml:space="preserve">latter is more realistic </w:t>
      </w:r>
      <w:r w:rsidR="00780C89">
        <w:t>because of two reasons. First, firms presumably exploit all positive NPV projects before paying dividends. Thus, any marginal projects that the firm can undertake earn only the cost of equity. Second, in a competitive market, if the shareholders reinvest dividends in other shares of comparable risk, they would earn only the cost of equity.</w:t>
      </w:r>
    </w:p>
    <w:p w:rsidR="00E46AE6" w:rsidRDefault="00CD120B" w:rsidP="00CD120B">
      <w:pPr>
        <w:pStyle w:val="BodyText"/>
      </w:pPr>
      <w:r>
        <w:t>The</w:t>
      </w:r>
      <w:r w:rsidR="009A4443">
        <w:t xml:space="preserve"> multiperiod ROE </w:t>
      </w:r>
      <w:r w:rsidR="00E46AE6">
        <w:t>has the following advantages</w:t>
      </w:r>
      <w:r>
        <w:t xml:space="preserve"> over a single-period ROE</w:t>
      </w:r>
      <w:r w:rsidR="00E46AE6">
        <w:t>:</w:t>
      </w:r>
    </w:p>
    <w:p w:rsidR="00E46AE6" w:rsidRDefault="00E46AE6" w:rsidP="00CD120B">
      <w:pPr>
        <w:pStyle w:val="BodyText"/>
        <w:numPr>
          <w:ilvl w:val="0"/>
          <w:numId w:val="33"/>
        </w:numPr>
      </w:pPr>
      <w:r>
        <w:t xml:space="preserve">Instead of using annual earnings in the numerator, </w:t>
      </w:r>
      <w:r w:rsidR="007D6BB3">
        <w:t>the multiperiod ROE</w:t>
      </w:r>
      <w:r>
        <w:t xml:space="preserve"> </w:t>
      </w:r>
      <w:r w:rsidR="009A4443">
        <w:t xml:space="preserve">effectively </w:t>
      </w:r>
      <w:r>
        <w:t xml:space="preserve">uses </w:t>
      </w:r>
      <w:r w:rsidR="00D933B5">
        <w:t xml:space="preserve">the </w:t>
      </w:r>
      <w:r>
        <w:t xml:space="preserve">sum of earnings over multiple years </w:t>
      </w:r>
      <w:r w:rsidR="007D6BB3">
        <w:t xml:space="preserve">in the numerator. This smoothes </w:t>
      </w:r>
      <w:r w:rsidR="004278CC">
        <w:t xml:space="preserve">out the effect of non-recurring </w:t>
      </w:r>
      <w:r>
        <w:t>items.</w:t>
      </w:r>
    </w:p>
    <w:p w:rsidR="00E46AE6" w:rsidRDefault="00E46AE6" w:rsidP="00CD120B">
      <w:pPr>
        <w:pStyle w:val="BodyText"/>
        <w:numPr>
          <w:ilvl w:val="0"/>
          <w:numId w:val="33"/>
        </w:numPr>
      </w:pPr>
      <w:r>
        <w:t xml:space="preserve">It also adds back earnings foregone on dividends </w:t>
      </w:r>
      <w:r w:rsidR="00D933B5">
        <w:t xml:space="preserve">paid during the measurement period </w:t>
      </w:r>
      <w:r>
        <w:t xml:space="preserve">to the numerator. </w:t>
      </w:r>
    </w:p>
    <w:p w:rsidR="0050155A" w:rsidRDefault="00D933B5" w:rsidP="0050155A">
      <w:pPr>
        <w:pStyle w:val="BodyText"/>
        <w:numPr>
          <w:ilvl w:val="0"/>
          <w:numId w:val="33"/>
        </w:numPr>
      </w:pPr>
      <w:r>
        <w:t>It is a geometric average rather than an arithmetic average. Th</w:t>
      </w:r>
      <w:r w:rsidR="00D77EEF">
        <w:t xml:space="preserve">e adjustment for dividends and geometric averaging cause it to differ from </w:t>
      </w:r>
      <w:r w:rsidR="00D01CB4">
        <w:t>a simple</w:t>
      </w:r>
      <w:r w:rsidR="00D77EEF">
        <w:t xml:space="preserve"> average of </w:t>
      </w:r>
      <w:r>
        <w:t>ROE over multiple years.</w:t>
      </w:r>
    </w:p>
    <w:p w:rsidR="00B034CB" w:rsidRDefault="00B034CB" w:rsidP="00B034CB">
      <w:pPr>
        <w:pStyle w:val="BodyText"/>
      </w:pPr>
      <w:r>
        <w:t xml:space="preserve">Historical ROE </w:t>
      </w:r>
      <w:r w:rsidRPr="00B034CB">
        <w:t xml:space="preserve">can be compared to forecasted ROE. </w:t>
      </w:r>
      <w:r w:rsidR="004311A8">
        <w:t xml:space="preserve">A material difference suggests that earnings forecasts are </w:t>
      </w:r>
      <w:r w:rsidR="007D6BB3">
        <w:t xml:space="preserve">unrealistic. </w:t>
      </w:r>
      <w:r w:rsidR="00CA695B">
        <w:t xml:space="preserve">To investigate </w:t>
      </w:r>
      <w:r w:rsidRPr="00B034CB">
        <w:t xml:space="preserve">this issue further </w:t>
      </w:r>
      <w:r w:rsidR="00CA695B">
        <w:t xml:space="preserve">one often needs to strip out the effect of leverage. </w:t>
      </w:r>
      <w:r w:rsidRPr="00B034CB">
        <w:t xml:space="preserve">A second spreadsheet provides the </w:t>
      </w:r>
      <w:r w:rsidR="00CA695B">
        <w:t xml:space="preserve">unleveraged or enterprise version with </w:t>
      </w:r>
      <w:r w:rsidR="007D6BB3">
        <w:t>multi</w:t>
      </w:r>
      <w:r w:rsidRPr="00B034CB">
        <w:t xml:space="preserve">period ROIC and </w:t>
      </w:r>
      <w:r w:rsidR="00CA695B">
        <w:t xml:space="preserve">unlevered </w:t>
      </w:r>
      <w:r w:rsidRPr="00B034CB">
        <w:t>IRR.</w:t>
      </w:r>
    </w:p>
    <w:p w:rsidR="00BD3816" w:rsidRDefault="00BD3816" w:rsidP="00BD3816">
      <w:pPr>
        <w:pStyle w:val="BodyText"/>
      </w:pPr>
      <w:r>
        <w:t>Conservative accounting biases book values downwards and inflates the IRR and ROE. To mitigate the problems arising from biased book values, one can replace book values by market values to compute the return on market equity (ROME). ROME can then be compared to the cost of equity to gauge whether the firm has created shareholder va</w:t>
      </w:r>
      <w:r w:rsidR="00F801C6">
        <w:t>lue over the measurement period.</w:t>
      </w:r>
    </w:p>
    <w:p w:rsidR="00941170" w:rsidRDefault="00941170" w:rsidP="00B034CB">
      <w:pPr>
        <w:pStyle w:val="Heading1"/>
      </w:pPr>
      <w:r>
        <w:t>IRR and ROE</w:t>
      </w:r>
    </w:p>
    <w:p w:rsidR="00941170" w:rsidRDefault="00941170" w:rsidP="00941170">
      <w:pPr>
        <w:pStyle w:val="Heading2"/>
      </w:pPr>
      <w:r>
        <w:t>Internal rate of return</w:t>
      </w:r>
    </w:p>
    <w:p w:rsidR="00941170" w:rsidRDefault="00941170" w:rsidP="00941170">
      <w:pPr>
        <w:pStyle w:val="BodyText"/>
      </w:pPr>
      <w:r>
        <w:t>Current year = Y</w:t>
      </w:r>
      <w:r w:rsidRPr="00213331">
        <w:rPr>
          <w:vertAlign w:val="subscript"/>
        </w:rPr>
        <w:t>0</w:t>
      </w:r>
      <w:r>
        <w:t>. Previous year= Y</w:t>
      </w:r>
      <w:r w:rsidRPr="00213331">
        <w:rPr>
          <w:vertAlign w:val="subscript"/>
        </w:rPr>
        <w:t>-1</w:t>
      </w:r>
      <w:r>
        <w:t>, and so on.</w:t>
      </w:r>
    </w:p>
    <w:p w:rsidR="00941170" w:rsidRPr="00384F40" w:rsidRDefault="00941170" w:rsidP="00941170">
      <w:pPr>
        <w:pStyle w:val="BodyText"/>
      </w:pPr>
      <w:r>
        <w:t>Assume that all dividends are paid at the end of the year. One could use quarterly data for accuracy.</w:t>
      </w:r>
    </w:p>
    <w:p w:rsidR="00941170" w:rsidRDefault="00941170" w:rsidP="00941170">
      <w:pPr>
        <w:pStyle w:val="BodyText"/>
      </w:pPr>
      <w:r>
        <w:t>d</w:t>
      </w:r>
      <w:r w:rsidRPr="00384F40">
        <w:rPr>
          <w:vertAlign w:val="subscript"/>
        </w:rPr>
        <w:t>-5</w:t>
      </w:r>
      <w:r>
        <w:t xml:space="preserve"> = dividends per share paid at the end of Year -5, and so on.</w:t>
      </w:r>
    </w:p>
    <w:p w:rsidR="00941170" w:rsidRDefault="00941170" w:rsidP="00941170">
      <w:pPr>
        <w:pStyle w:val="BodyText"/>
      </w:pPr>
      <w:r>
        <w:lastRenderedPageBreak/>
        <w:t>b</w:t>
      </w:r>
      <w:r w:rsidRPr="00120128">
        <w:rPr>
          <w:vertAlign w:val="subscript"/>
        </w:rPr>
        <w:t>-6</w:t>
      </w:r>
      <w:r w:rsidR="00F801C6">
        <w:t xml:space="preserve"> = b</w:t>
      </w:r>
      <w:r>
        <w:t>ook value at the at the end of Y</w:t>
      </w:r>
      <w:r w:rsidRPr="00120128">
        <w:rPr>
          <w:vertAlign w:val="subscript"/>
        </w:rPr>
        <w:t xml:space="preserve">-6 </w:t>
      </w:r>
      <w:r>
        <w:t>or at the beginning of Y</w:t>
      </w:r>
      <w:r>
        <w:rPr>
          <w:vertAlign w:val="subscript"/>
        </w:rPr>
        <w:t>-5</w:t>
      </w:r>
    </w:p>
    <w:p w:rsidR="00941170" w:rsidRDefault="00941170" w:rsidP="00941170">
      <w:pPr>
        <w:pStyle w:val="BodyText"/>
      </w:pPr>
      <w:r>
        <w:t>b</w:t>
      </w:r>
      <w:r>
        <w:rPr>
          <w:vertAlign w:val="subscript"/>
        </w:rPr>
        <w:t>0</w:t>
      </w:r>
      <w:r>
        <w:t xml:space="preserve"> = book value on the measurement date </w:t>
      </w:r>
    </w:p>
    <w:p w:rsidR="00941170" w:rsidRPr="00701598" w:rsidRDefault="00941170" w:rsidP="00941170">
      <w:pPr>
        <w:pStyle w:val="BodyText"/>
      </w:pPr>
      <w:r>
        <w:t>The IRR is the rate of return r that solves the following equation:</w:t>
      </w:r>
    </w:p>
    <w:p w:rsidR="00941170" w:rsidRPr="00211E59" w:rsidRDefault="00941170" w:rsidP="00941170">
      <w:pPr>
        <w:pStyle w:val="BodyText"/>
      </w:pPr>
      <w:r>
        <w:rPr>
          <w:rFonts w:ascii="Symbol" w:hAnsi="Symbol"/>
        </w:rPr>
        <w:t></w:t>
      </w:r>
      <w:r w:rsidRPr="004C42EF">
        <w:t xml:space="preserve"> </w:t>
      </w:r>
      <w:r>
        <w:t>b</w:t>
      </w:r>
      <w:r w:rsidRPr="00701598">
        <w:rPr>
          <w:vertAlign w:val="subscript"/>
        </w:rPr>
        <w:t>-6</w:t>
      </w:r>
      <w:r>
        <w:t xml:space="preserve"> = d</w:t>
      </w:r>
      <w:r>
        <w:rPr>
          <w:vertAlign w:val="subscript"/>
        </w:rPr>
        <w:t>-5</w:t>
      </w:r>
      <w:r>
        <w:t>/(1+r)</w:t>
      </w:r>
      <w:r w:rsidRPr="00405CB8">
        <w:rPr>
          <w:vertAlign w:val="superscript"/>
        </w:rPr>
        <w:t>1</w:t>
      </w:r>
      <w:r>
        <w:t xml:space="preserve"> + d</w:t>
      </w:r>
      <w:r>
        <w:rPr>
          <w:vertAlign w:val="subscript"/>
        </w:rPr>
        <w:t>-4</w:t>
      </w:r>
      <w:r>
        <w:t>/(1+r)</w:t>
      </w:r>
      <w:r w:rsidRPr="00405CB8">
        <w:rPr>
          <w:vertAlign w:val="superscript"/>
        </w:rPr>
        <w:t>2</w:t>
      </w:r>
      <w:r>
        <w:t xml:space="preserve"> +</w:t>
      </w:r>
      <w:r w:rsidRPr="00384F40">
        <w:t xml:space="preserve"> </w:t>
      </w:r>
      <w:r>
        <w:t>d</w:t>
      </w:r>
      <w:r>
        <w:rPr>
          <w:vertAlign w:val="subscript"/>
        </w:rPr>
        <w:t>-3</w:t>
      </w:r>
      <w:r>
        <w:t>/(1+r)</w:t>
      </w:r>
      <w:r w:rsidRPr="00405CB8">
        <w:rPr>
          <w:vertAlign w:val="superscript"/>
        </w:rPr>
        <w:t>3</w:t>
      </w:r>
      <w:r>
        <w:t xml:space="preserve"> +</w:t>
      </w:r>
      <w:r w:rsidRPr="00384F40">
        <w:t xml:space="preserve"> </w:t>
      </w:r>
      <w:r>
        <w:t>d</w:t>
      </w:r>
      <w:r>
        <w:rPr>
          <w:vertAlign w:val="subscript"/>
        </w:rPr>
        <w:t>-2</w:t>
      </w:r>
      <w:r>
        <w:t>/ (1+r)</w:t>
      </w:r>
      <w:r w:rsidRPr="00405CB8">
        <w:rPr>
          <w:vertAlign w:val="superscript"/>
        </w:rPr>
        <w:t>4</w:t>
      </w:r>
      <w:r>
        <w:rPr>
          <w:vertAlign w:val="superscript"/>
        </w:rPr>
        <w:t xml:space="preserve"> </w:t>
      </w:r>
      <w:r w:rsidRPr="00405CB8">
        <w:t>+</w:t>
      </w:r>
      <w:r w:rsidRPr="00384F40">
        <w:t xml:space="preserve"> </w:t>
      </w:r>
      <w:r>
        <w:t>d</w:t>
      </w:r>
      <w:r>
        <w:rPr>
          <w:vertAlign w:val="subscript"/>
        </w:rPr>
        <w:t>-1</w:t>
      </w:r>
      <w:r>
        <w:t>/(1+r)</w:t>
      </w:r>
      <w:r w:rsidRPr="00405CB8">
        <w:rPr>
          <w:vertAlign w:val="superscript"/>
        </w:rPr>
        <w:t>5</w:t>
      </w:r>
      <w:r>
        <w:t xml:space="preserve"> + (b</w:t>
      </w:r>
      <w:r w:rsidRPr="00701598">
        <w:rPr>
          <w:vertAlign w:val="subscript"/>
        </w:rPr>
        <w:t>0</w:t>
      </w:r>
      <w:r>
        <w:t>+d</w:t>
      </w:r>
      <w:r w:rsidRPr="00701598">
        <w:rPr>
          <w:vertAlign w:val="subscript"/>
        </w:rPr>
        <w:t>0</w:t>
      </w:r>
      <w:r>
        <w:t>)/(1+r)</w:t>
      </w:r>
      <w:r>
        <w:rPr>
          <w:vertAlign w:val="superscript"/>
        </w:rPr>
        <w:t xml:space="preserve">6 </w:t>
      </w:r>
    </w:p>
    <w:p w:rsidR="00941170" w:rsidRDefault="00941170" w:rsidP="00941170">
      <w:pPr>
        <w:pStyle w:val="BodyText"/>
      </w:pPr>
      <w:r>
        <w:t>That is, the internal rate of return is computed as if the firm was purchased for b</w:t>
      </w:r>
      <w:r w:rsidRPr="00830F85">
        <w:rPr>
          <w:vertAlign w:val="subscript"/>
        </w:rPr>
        <w:t>-6</w:t>
      </w:r>
      <w:r>
        <w:t xml:space="preserve"> at the end of Y</w:t>
      </w:r>
      <w:r>
        <w:rPr>
          <w:vertAlign w:val="subscript"/>
        </w:rPr>
        <w:t>-6</w:t>
      </w:r>
      <w:r>
        <w:t>. The holder then received the dividends over the next six years and sold the investment for b</w:t>
      </w:r>
      <w:r>
        <w:softHyphen/>
      </w:r>
      <w:r w:rsidRPr="00830F85">
        <w:rPr>
          <w:vertAlign w:val="subscript"/>
        </w:rPr>
        <w:t>0</w:t>
      </w:r>
      <w:r>
        <w:t>.</w:t>
      </w:r>
    </w:p>
    <w:p w:rsidR="00941170" w:rsidRPr="00941170" w:rsidRDefault="00941170" w:rsidP="00941170">
      <w:pPr>
        <w:pStyle w:val="BodyText"/>
      </w:pPr>
      <w:r>
        <w:t xml:space="preserve">The IRR computation implicitly assumes that the dividends are reinvested at IRR. </w:t>
      </w:r>
      <w:r w:rsidRPr="00B340DF">
        <w:t xml:space="preserve">Conservative accounting </w:t>
      </w:r>
      <w:r>
        <w:t>exerts a downward bias on both b</w:t>
      </w:r>
      <w:r w:rsidRPr="00DE3033">
        <w:rPr>
          <w:vertAlign w:val="subscript"/>
        </w:rPr>
        <w:t>-6</w:t>
      </w:r>
      <w:r>
        <w:t xml:space="preserve"> and b</w:t>
      </w:r>
      <w:r w:rsidRPr="00DE3033">
        <w:rPr>
          <w:vertAlign w:val="subscript"/>
        </w:rPr>
        <w:t>0</w:t>
      </w:r>
      <w:r>
        <w:t>. These two biases partially offset each other, thereby lowering the susceptibility of IRR to accounting rules.</w:t>
      </w:r>
    </w:p>
    <w:p w:rsidR="00731D25" w:rsidRDefault="00941170" w:rsidP="00941170">
      <w:pPr>
        <w:pStyle w:val="Heading1"/>
      </w:pPr>
      <w:r>
        <w:t xml:space="preserve">ROE: </w:t>
      </w:r>
      <w:r w:rsidRPr="00941170">
        <w:t>A different assumption of yield on reinvested dividends</w:t>
      </w:r>
    </w:p>
    <w:p w:rsidR="00BB12AE" w:rsidRDefault="00941170" w:rsidP="00BB12AE">
      <w:pPr>
        <w:pStyle w:val="BodyText"/>
      </w:pPr>
      <w:r>
        <w:t>The multiperiod ROE computation differs in only aspect from IRR. The ROE computation assumes that the dividends earn income at the rate of cost of equity. O</w:t>
      </w:r>
      <w:r w:rsidR="00BB12AE" w:rsidRPr="00916C6C">
        <w:t xml:space="preserve">ne </w:t>
      </w:r>
      <w:r w:rsidR="00BB12AE">
        <w:t>computes a hypothetical book value h</w:t>
      </w:r>
      <w:r w:rsidR="00BB12AE" w:rsidRPr="00302951">
        <w:rPr>
          <w:vertAlign w:val="subscript"/>
        </w:rPr>
        <w:t>0</w:t>
      </w:r>
      <w:r w:rsidR="00BB12AE">
        <w:rPr>
          <w:vertAlign w:val="subscript"/>
        </w:rPr>
        <w:t>,</w:t>
      </w:r>
      <w:r w:rsidR="00BB12AE">
        <w:t xml:space="preserve"> which equals what the current book value </w:t>
      </w:r>
      <w:r w:rsidR="00BB12AE" w:rsidRPr="00916C6C">
        <w:t xml:space="preserve">would have been had </w:t>
      </w:r>
      <w:r w:rsidR="00BB12AE">
        <w:t xml:space="preserve">the firm </w:t>
      </w:r>
      <w:r w:rsidR="00BB12AE" w:rsidRPr="00916C6C">
        <w:t>not paid dividends</w:t>
      </w:r>
      <w:r w:rsidR="00BB12AE">
        <w:t>. h</w:t>
      </w:r>
      <w:r w:rsidR="00BB12AE" w:rsidRPr="00302951">
        <w:rPr>
          <w:vertAlign w:val="subscript"/>
        </w:rPr>
        <w:t>0</w:t>
      </w:r>
      <w:r w:rsidR="00BB12AE">
        <w:t xml:space="preserve"> equals the sum of b</w:t>
      </w:r>
      <w:r w:rsidR="00BB12AE" w:rsidRPr="00302951">
        <w:rPr>
          <w:vertAlign w:val="subscript"/>
        </w:rPr>
        <w:t>-T</w:t>
      </w:r>
      <w:r w:rsidR="00BB12AE">
        <w:t>, the total earnings over T years, and the earnings foregone on dividends over the T years</w:t>
      </w:r>
      <w:r>
        <w:t xml:space="preserve"> if the dividends earned income at the rate of cost of equity</w:t>
      </w:r>
      <w:r w:rsidR="00BB12AE">
        <w:t>. Alternatively, h</w:t>
      </w:r>
      <w:r w:rsidR="00BB12AE" w:rsidRPr="000F6BD4">
        <w:rPr>
          <w:vertAlign w:val="subscript"/>
        </w:rPr>
        <w:t>0</w:t>
      </w:r>
      <w:r w:rsidR="00BB12AE">
        <w:t xml:space="preserve"> equals the sum of b</w:t>
      </w:r>
      <w:r w:rsidR="00BB12AE" w:rsidRPr="000F6BD4">
        <w:rPr>
          <w:vertAlign w:val="subscript"/>
        </w:rPr>
        <w:t>0</w:t>
      </w:r>
      <w:r w:rsidR="00BB12AE">
        <w:t>, cumulative dividends over T years, and the earnings foregone on those dividends</w:t>
      </w:r>
      <w:r>
        <w:t xml:space="preserve"> at the rate of cost of equity.</w:t>
      </w:r>
    </w:p>
    <w:p w:rsidR="003C0527" w:rsidRDefault="003C0527" w:rsidP="001E380D">
      <w:pPr>
        <w:pStyle w:val="BodyText"/>
      </w:pPr>
      <w:r>
        <w:t>E</w:t>
      </w:r>
      <w:r w:rsidR="00120128" w:rsidRPr="00120128">
        <w:rPr>
          <w:vertAlign w:val="subscript"/>
        </w:rPr>
        <w:t>0</w:t>
      </w:r>
      <w:r w:rsidR="00120128">
        <w:t xml:space="preserve"> </w:t>
      </w:r>
      <w:r w:rsidR="00AB74F5">
        <w:t>= Sum of earnings per share</w:t>
      </w:r>
      <w:r>
        <w:t xml:space="preserve"> over the current year and previous five years</w:t>
      </w:r>
    </w:p>
    <w:p w:rsidR="004D50B4" w:rsidRPr="004D50B4" w:rsidRDefault="004D50B4" w:rsidP="003C2AA2">
      <w:pPr>
        <w:pStyle w:val="BodyText"/>
      </w:pPr>
      <w:r w:rsidRPr="004D50B4">
        <w:t>D</w:t>
      </w:r>
      <w:r w:rsidRPr="004D50B4">
        <w:rPr>
          <w:vertAlign w:val="subscript"/>
        </w:rPr>
        <w:t>0</w:t>
      </w:r>
      <w:r>
        <w:t xml:space="preserve"> = </w:t>
      </w:r>
      <w:r w:rsidRPr="00405CB8">
        <w:rPr>
          <w:rFonts w:ascii="Symbol" w:hAnsi="Symbol"/>
        </w:rPr>
        <w:t></w:t>
      </w:r>
      <w:r>
        <w:rPr>
          <w:rFonts w:ascii="Symbol" w:hAnsi="Symbol"/>
        </w:rPr>
        <w:t></w:t>
      </w:r>
      <w:r>
        <w:t>d</w:t>
      </w:r>
      <w:r w:rsidRPr="00405CB8">
        <w:rPr>
          <w:vertAlign w:val="subscript"/>
        </w:rPr>
        <w:t>-n</w:t>
      </w:r>
      <w:r>
        <w:t xml:space="preserve"> = sum of dividends per share over current and previous five years</w:t>
      </w:r>
    </w:p>
    <w:p w:rsidR="00384F40" w:rsidRPr="00384F40" w:rsidRDefault="00384F40" w:rsidP="003C2AA2">
      <w:pPr>
        <w:pStyle w:val="BodyText"/>
      </w:pPr>
      <w:r>
        <w:t>r</w:t>
      </w:r>
      <w:r>
        <w:rPr>
          <w:vertAlign w:val="subscript"/>
        </w:rPr>
        <w:t>e</w:t>
      </w:r>
      <w:r w:rsidR="00941170">
        <w:t xml:space="preserve"> = cost of equity</w:t>
      </w:r>
    </w:p>
    <w:p w:rsidR="00405CB8" w:rsidRDefault="003C0527" w:rsidP="003C2AA2">
      <w:pPr>
        <w:pStyle w:val="BodyText"/>
      </w:pPr>
      <w:r>
        <w:t>F</w:t>
      </w:r>
      <w:r w:rsidR="00120128" w:rsidRPr="00120128">
        <w:rPr>
          <w:vertAlign w:val="subscript"/>
        </w:rPr>
        <w:t>0</w:t>
      </w:r>
      <w:r>
        <w:t xml:space="preserve"> = Sum of earnings foregone on dividends paid over previous five years</w:t>
      </w:r>
    </w:p>
    <w:p w:rsidR="003C0527" w:rsidRPr="00211E59" w:rsidRDefault="00120128" w:rsidP="003C2AA2">
      <w:pPr>
        <w:pStyle w:val="BodyText"/>
      </w:pPr>
      <w:r>
        <w:rPr>
          <w:rFonts w:ascii="Symbol" w:hAnsi="Symbol"/>
        </w:rPr>
        <w:t></w:t>
      </w:r>
      <w:r>
        <w:rPr>
          <w:rFonts w:ascii="Symbol" w:hAnsi="Symbol"/>
        </w:rPr>
        <w:t></w:t>
      </w:r>
      <w:r>
        <w:rPr>
          <w:rFonts w:ascii="Symbol" w:hAnsi="Symbol"/>
        </w:rPr>
        <w:t></w:t>
      </w:r>
      <w:r>
        <w:rPr>
          <w:rFonts w:ascii="Symbol" w:hAnsi="Symbol"/>
        </w:rPr>
        <w:t></w:t>
      </w:r>
      <w:r w:rsidRPr="00120128">
        <w:t>=</w:t>
      </w:r>
      <w:r>
        <w:rPr>
          <w:rFonts w:ascii="Symbol" w:hAnsi="Symbol"/>
        </w:rPr>
        <w:t></w:t>
      </w:r>
      <w:r w:rsidR="00405CB8" w:rsidRPr="00405CB8">
        <w:rPr>
          <w:rFonts w:ascii="Symbol" w:hAnsi="Symbol"/>
        </w:rPr>
        <w:t></w:t>
      </w:r>
      <w:r w:rsidR="00405CB8">
        <w:rPr>
          <w:rFonts w:ascii="Symbol" w:hAnsi="Symbol"/>
        </w:rPr>
        <w:t></w:t>
      </w:r>
      <w:r w:rsidR="00405CB8">
        <w:t>d</w:t>
      </w:r>
      <w:r w:rsidR="00405CB8" w:rsidRPr="00405CB8">
        <w:rPr>
          <w:vertAlign w:val="subscript"/>
        </w:rPr>
        <w:t>-n</w:t>
      </w:r>
      <w:r w:rsidR="00405CB8">
        <w:t>(1+r)</w:t>
      </w:r>
      <w:r w:rsidR="00405CB8" w:rsidRPr="00405CB8">
        <w:rPr>
          <w:vertAlign w:val="superscript"/>
        </w:rPr>
        <w:t>n</w:t>
      </w:r>
      <w:r w:rsidR="00384F40">
        <w:t xml:space="preserve"> </w:t>
      </w:r>
      <w:r w:rsidR="00211E59">
        <w:t xml:space="preserve">– </w:t>
      </w:r>
      <w:r w:rsidR="00211E59">
        <w:rPr>
          <w:rFonts w:ascii="Symbol" w:hAnsi="Symbol"/>
        </w:rPr>
        <w:t></w:t>
      </w:r>
      <w:r w:rsidR="004D50B4" w:rsidRPr="00405CB8">
        <w:rPr>
          <w:rFonts w:ascii="Symbol" w:hAnsi="Symbol"/>
        </w:rPr>
        <w:t></w:t>
      </w:r>
      <w:r w:rsidR="004D50B4">
        <w:rPr>
          <w:rFonts w:ascii="Symbol" w:hAnsi="Symbol"/>
        </w:rPr>
        <w:t></w:t>
      </w:r>
      <w:r w:rsidR="004D50B4">
        <w:t>d</w:t>
      </w:r>
      <w:r w:rsidR="004D50B4" w:rsidRPr="00405CB8">
        <w:rPr>
          <w:vertAlign w:val="subscript"/>
        </w:rPr>
        <w:t>-n</w:t>
      </w:r>
      <w:r w:rsidR="00211E59">
        <w:t xml:space="preserve"> </w:t>
      </w:r>
      <w:r w:rsidR="00384F40">
        <w:t>= d</w:t>
      </w:r>
      <w:r w:rsidR="00384F40">
        <w:rPr>
          <w:vertAlign w:val="subscript"/>
        </w:rPr>
        <w:t>-5</w:t>
      </w:r>
      <w:r w:rsidR="00384F40">
        <w:t>(1+r</w:t>
      </w:r>
      <w:r w:rsidR="00384F40">
        <w:rPr>
          <w:vertAlign w:val="subscript"/>
        </w:rPr>
        <w:t>e</w:t>
      </w:r>
      <w:r w:rsidR="00384F40">
        <w:t>)</w:t>
      </w:r>
      <w:r w:rsidR="00384F40" w:rsidRPr="00405CB8">
        <w:rPr>
          <w:vertAlign w:val="superscript"/>
        </w:rPr>
        <w:t>5</w:t>
      </w:r>
      <w:r w:rsidR="00405CB8">
        <w:t xml:space="preserve"> </w:t>
      </w:r>
      <w:r w:rsidR="00211E59">
        <w:t>– d</w:t>
      </w:r>
      <w:r w:rsidR="00211E59">
        <w:rPr>
          <w:vertAlign w:val="subscript"/>
        </w:rPr>
        <w:t>-5</w:t>
      </w:r>
      <w:r w:rsidR="00211E59">
        <w:t xml:space="preserve"> </w:t>
      </w:r>
      <w:r w:rsidR="00384F40">
        <w:t>+ d</w:t>
      </w:r>
      <w:r w:rsidR="00384F40">
        <w:rPr>
          <w:vertAlign w:val="subscript"/>
        </w:rPr>
        <w:t>-4</w:t>
      </w:r>
      <w:r w:rsidR="00384F40">
        <w:t>(1+r</w:t>
      </w:r>
      <w:r w:rsidR="00384F40">
        <w:rPr>
          <w:vertAlign w:val="subscript"/>
        </w:rPr>
        <w:t>e</w:t>
      </w:r>
      <w:r w:rsidR="00405CB8">
        <w:t>)</w:t>
      </w:r>
      <w:r w:rsidR="00384F40" w:rsidRPr="00405CB8">
        <w:rPr>
          <w:vertAlign w:val="superscript"/>
        </w:rPr>
        <w:t>4</w:t>
      </w:r>
      <w:r w:rsidR="00405CB8">
        <w:t xml:space="preserve"> </w:t>
      </w:r>
      <w:r w:rsidR="00211E59">
        <w:t>- d</w:t>
      </w:r>
      <w:r w:rsidR="00211E59">
        <w:rPr>
          <w:vertAlign w:val="subscript"/>
        </w:rPr>
        <w:t xml:space="preserve">-4 </w:t>
      </w:r>
      <w:r w:rsidR="00384F40">
        <w:t>+</w:t>
      </w:r>
      <w:r w:rsidR="00384F40" w:rsidRPr="00384F40">
        <w:t xml:space="preserve"> </w:t>
      </w:r>
      <w:r w:rsidR="00384F40">
        <w:t>d</w:t>
      </w:r>
      <w:r w:rsidR="00384F40">
        <w:rPr>
          <w:vertAlign w:val="subscript"/>
        </w:rPr>
        <w:t>-3</w:t>
      </w:r>
      <w:r w:rsidR="00384F40">
        <w:t>(1+r</w:t>
      </w:r>
      <w:r w:rsidR="00384F40">
        <w:rPr>
          <w:vertAlign w:val="subscript"/>
        </w:rPr>
        <w:t>e</w:t>
      </w:r>
      <w:r w:rsidR="00405CB8">
        <w:t>)</w:t>
      </w:r>
      <w:r w:rsidR="00384F40" w:rsidRPr="00405CB8">
        <w:rPr>
          <w:vertAlign w:val="superscript"/>
        </w:rPr>
        <w:t>3</w:t>
      </w:r>
      <w:r w:rsidR="00405CB8">
        <w:t xml:space="preserve"> </w:t>
      </w:r>
      <w:r w:rsidR="00211E59">
        <w:t>- d</w:t>
      </w:r>
      <w:r w:rsidR="00211E59">
        <w:rPr>
          <w:vertAlign w:val="subscript"/>
        </w:rPr>
        <w:t xml:space="preserve">-3 </w:t>
      </w:r>
      <w:r w:rsidR="00384F40">
        <w:t>+</w:t>
      </w:r>
      <w:r w:rsidR="00384F40" w:rsidRPr="00384F40">
        <w:t xml:space="preserve"> </w:t>
      </w:r>
      <w:r w:rsidR="00384F40">
        <w:t>d</w:t>
      </w:r>
      <w:r w:rsidR="00384F40">
        <w:rPr>
          <w:vertAlign w:val="subscript"/>
        </w:rPr>
        <w:t>-2</w:t>
      </w:r>
      <w:r w:rsidR="00384F40">
        <w:t>(1+r</w:t>
      </w:r>
      <w:r w:rsidR="00384F40">
        <w:rPr>
          <w:vertAlign w:val="subscript"/>
        </w:rPr>
        <w:t>e</w:t>
      </w:r>
      <w:r w:rsidR="00405CB8">
        <w:t>)</w:t>
      </w:r>
      <w:r w:rsidR="00384F40" w:rsidRPr="00405CB8">
        <w:rPr>
          <w:vertAlign w:val="superscript"/>
        </w:rPr>
        <w:t>2</w:t>
      </w:r>
      <w:r w:rsidR="00405CB8">
        <w:t xml:space="preserve"> </w:t>
      </w:r>
      <w:r w:rsidR="00211E59">
        <w:t>- d</w:t>
      </w:r>
      <w:r w:rsidR="00211E59">
        <w:rPr>
          <w:vertAlign w:val="subscript"/>
        </w:rPr>
        <w:t>-2</w:t>
      </w:r>
      <w:r w:rsidR="00405CB8">
        <w:rPr>
          <w:vertAlign w:val="superscript"/>
        </w:rPr>
        <w:t xml:space="preserve"> </w:t>
      </w:r>
      <w:r w:rsidR="00384F40" w:rsidRPr="00405CB8">
        <w:t>+</w:t>
      </w:r>
      <w:r w:rsidR="00384F40" w:rsidRPr="00384F40">
        <w:t xml:space="preserve"> </w:t>
      </w:r>
      <w:r w:rsidR="00384F40">
        <w:t>d</w:t>
      </w:r>
      <w:r w:rsidR="00384F40">
        <w:rPr>
          <w:vertAlign w:val="subscript"/>
        </w:rPr>
        <w:t>-1</w:t>
      </w:r>
      <w:r w:rsidR="00384F40">
        <w:t>(1+r</w:t>
      </w:r>
      <w:r w:rsidR="00384F40">
        <w:rPr>
          <w:vertAlign w:val="subscript"/>
        </w:rPr>
        <w:t>e</w:t>
      </w:r>
      <w:r w:rsidR="00405CB8">
        <w:t>)</w:t>
      </w:r>
      <w:r w:rsidR="00384F40" w:rsidRPr="00405CB8">
        <w:rPr>
          <w:vertAlign w:val="superscript"/>
        </w:rPr>
        <w:t>1</w:t>
      </w:r>
      <w:r w:rsidR="00211E59">
        <w:t xml:space="preserve"> – d</w:t>
      </w:r>
      <w:r w:rsidR="005A6633">
        <w:t>-</w:t>
      </w:r>
      <w:r w:rsidR="00211E59" w:rsidRPr="00211E59">
        <w:rPr>
          <w:vertAlign w:val="subscript"/>
        </w:rPr>
        <w:t>1</w:t>
      </w:r>
    </w:p>
    <w:p w:rsidR="003C0527" w:rsidRDefault="00582352" w:rsidP="003C2AA2">
      <w:pPr>
        <w:pStyle w:val="BodyText"/>
      </w:pPr>
      <w:r>
        <w:t>h</w:t>
      </w:r>
      <w:r w:rsidR="00120128" w:rsidRPr="00120128">
        <w:rPr>
          <w:vertAlign w:val="subscript"/>
        </w:rPr>
        <w:t>0</w:t>
      </w:r>
      <w:r w:rsidR="003C0527">
        <w:t xml:space="preserve"> = Hypothetical book value at the end of Y</w:t>
      </w:r>
      <w:r w:rsidR="003C0527" w:rsidRPr="00756B2A">
        <w:rPr>
          <w:vertAlign w:val="subscript"/>
        </w:rPr>
        <w:t>0</w:t>
      </w:r>
      <w:r w:rsidR="003C0527">
        <w:t xml:space="preserve"> assuming </w:t>
      </w:r>
      <w:r w:rsidR="00A4782F">
        <w:t xml:space="preserve">investment of </w:t>
      </w:r>
      <w:r w:rsidR="003C0527">
        <w:t xml:space="preserve">dividends had </w:t>
      </w:r>
      <w:r w:rsidR="001A0F60">
        <w:t xml:space="preserve">yielded </w:t>
      </w:r>
      <w:r w:rsidR="003C0527">
        <w:t>cost of equity</w:t>
      </w:r>
      <w:r w:rsidR="00120128">
        <w:t xml:space="preserve"> r</w:t>
      </w:r>
      <w:r w:rsidR="00120128" w:rsidRPr="00120128">
        <w:rPr>
          <w:vertAlign w:val="subscript"/>
        </w:rPr>
        <w:t>e</w:t>
      </w:r>
    </w:p>
    <w:p w:rsidR="00BD01EA" w:rsidRPr="00CB229B" w:rsidRDefault="00582352" w:rsidP="003C2AA2">
      <w:pPr>
        <w:pStyle w:val="BodyText"/>
      </w:pPr>
      <w:r>
        <w:t>h</w:t>
      </w:r>
      <w:r w:rsidR="00120128" w:rsidRPr="00120128">
        <w:rPr>
          <w:vertAlign w:val="subscript"/>
        </w:rPr>
        <w:t>0</w:t>
      </w:r>
      <w:r w:rsidR="00384F40">
        <w:t xml:space="preserve"> = </w:t>
      </w:r>
      <w:r w:rsidR="00120128">
        <w:t>b</w:t>
      </w:r>
      <w:r w:rsidR="00120128" w:rsidRPr="00120128">
        <w:rPr>
          <w:vertAlign w:val="subscript"/>
        </w:rPr>
        <w:t>-6</w:t>
      </w:r>
      <w:r w:rsidR="00384F40">
        <w:t xml:space="preserve"> + E</w:t>
      </w:r>
      <w:r w:rsidR="00120128" w:rsidRPr="00120128">
        <w:rPr>
          <w:vertAlign w:val="subscript"/>
        </w:rPr>
        <w:t>0</w:t>
      </w:r>
      <w:r w:rsidR="00384F40">
        <w:t xml:space="preserve"> + F</w:t>
      </w:r>
      <w:r w:rsidR="00120128" w:rsidRPr="00120128">
        <w:rPr>
          <w:vertAlign w:val="subscript"/>
        </w:rPr>
        <w:t>0</w:t>
      </w:r>
      <w:r w:rsidR="00CB229B">
        <w:t xml:space="preserve"> </w:t>
      </w:r>
    </w:p>
    <w:p w:rsidR="00BD01EA" w:rsidRPr="00BD01EA" w:rsidRDefault="00582352" w:rsidP="003C2AA2">
      <w:pPr>
        <w:pStyle w:val="BodyText"/>
      </w:pPr>
      <w:r>
        <w:t>Alternatively, h</w:t>
      </w:r>
      <w:r w:rsidR="00BD01EA" w:rsidRPr="00BD01EA">
        <w:rPr>
          <w:vertAlign w:val="subscript"/>
        </w:rPr>
        <w:t>0</w:t>
      </w:r>
      <w:r w:rsidR="00BD01EA">
        <w:t xml:space="preserve"> = b</w:t>
      </w:r>
      <w:r w:rsidR="00BD01EA" w:rsidRPr="00BD01EA">
        <w:rPr>
          <w:vertAlign w:val="subscript"/>
        </w:rPr>
        <w:t>0</w:t>
      </w:r>
      <w:r w:rsidR="00BD01EA">
        <w:t xml:space="preserve"> + </w:t>
      </w:r>
      <w:r w:rsidR="00BD01EA" w:rsidRPr="00405CB8">
        <w:rPr>
          <w:rFonts w:ascii="Symbol" w:hAnsi="Symbol"/>
        </w:rPr>
        <w:t></w:t>
      </w:r>
      <w:r w:rsidR="00BD01EA">
        <w:rPr>
          <w:rFonts w:ascii="Symbol" w:hAnsi="Symbol"/>
        </w:rPr>
        <w:t></w:t>
      </w:r>
      <w:r w:rsidR="00BD01EA">
        <w:t>d</w:t>
      </w:r>
      <w:r w:rsidR="00BD01EA" w:rsidRPr="00405CB8">
        <w:rPr>
          <w:vertAlign w:val="subscript"/>
        </w:rPr>
        <w:t>-n</w:t>
      </w:r>
      <w:r w:rsidR="00BD01EA">
        <w:t xml:space="preserve"> + F</w:t>
      </w:r>
      <w:r w:rsidR="00BD01EA" w:rsidRPr="00BD01EA">
        <w:rPr>
          <w:vertAlign w:val="subscript"/>
        </w:rPr>
        <w:t>0</w:t>
      </w:r>
      <w:r w:rsidR="00BD01EA">
        <w:t xml:space="preserve">. </w:t>
      </w:r>
    </w:p>
    <w:p w:rsidR="003C0527" w:rsidRDefault="00D01CB4" w:rsidP="003C2AA2">
      <w:pPr>
        <w:pStyle w:val="BodyText"/>
      </w:pPr>
      <w:r>
        <w:t xml:space="preserve">ROE </w:t>
      </w:r>
      <w:r w:rsidR="003C0527">
        <w:t xml:space="preserve">= </w:t>
      </w:r>
      <w:r w:rsidR="00384F40">
        <w:t xml:space="preserve">annualized </w:t>
      </w:r>
      <w:r w:rsidR="003C0527">
        <w:t xml:space="preserve">rate of return over the six years </w:t>
      </w:r>
      <w:r w:rsidR="00384F40">
        <w:t xml:space="preserve">including the current year </w:t>
      </w:r>
      <w:r w:rsidR="003C0527">
        <w:t xml:space="preserve">= </w:t>
      </w:r>
      <w:r w:rsidR="00384F40">
        <w:t>(</w:t>
      </w:r>
      <w:r w:rsidR="00582352">
        <w:t>h</w:t>
      </w:r>
      <w:r w:rsidR="00120128" w:rsidRPr="00120128">
        <w:rPr>
          <w:vertAlign w:val="subscript"/>
        </w:rPr>
        <w:t>0</w:t>
      </w:r>
      <w:r w:rsidR="00384F40">
        <w:t>/</w:t>
      </w:r>
      <w:r w:rsidR="00120128">
        <w:t>b</w:t>
      </w:r>
      <w:r w:rsidR="00120128" w:rsidRPr="00120128">
        <w:rPr>
          <w:vertAlign w:val="subscript"/>
        </w:rPr>
        <w:t>-6</w:t>
      </w:r>
      <w:r w:rsidR="00F741AC">
        <w:t>)</w:t>
      </w:r>
      <w:r w:rsidR="00384F40" w:rsidRPr="00F741AC">
        <w:rPr>
          <w:vertAlign w:val="superscript"/>
        </w:rPr>
        <w:t>(1/6)</w:t>
      </w:r>
      <w:r w:rsidR="00384F40">
        <w:t xml:space="preserve"> - 1</w:t>
      </w:r>
    </w:p>
    <w:p w:rsidR="00925B3C" w:rsidRPr="00925B3C" w:rsidRDefault="003E216A" w:rsidP="003C2AA2">
      <w:pPr>
        <w:pStyle w:val="BodyText"/>
      </w:pPr>
      <w:r>
        <w:t>ROE differ</w:t>
      </w:r>
      <w:r w:rsidR="00917210">
        <w:t>s</w:t>
      </w:r>
      <w:r>
        <w:t xml:space="preserve"> from r</w:t>
      </w:r>
      <w:r w:rsidRPr="005F492B">
        <w:rPr>
          <w:vertAlign w:val="subscript"/>
        </w:rPr>
        <w:t>e</w:t>
      </w:r>
      <w:r>
        <w:t xml:space="preserve"> if the firm </w:t>
      </w:r>
      <w:r w:rsidR="005A6633">
        <w:t xml:space="preserve">creates shareholder value </w:t>
      </w:r>
      <w:r>
        <w:t xml:space="preserve">or </w:t>
      </w:r>
      <w:r w:rsidR="00917210">
        <w:t>if</w:t>
      </w:r>
      <w:r w:rsidR="00CA56F1">
        <w:t xml:space="preserve"> its accounting </w:t>
      </w:r>
      <w:r>
        <w:t>is biased.</w:t>
      </w:r>
    </w:p>
    <w:p w:rsidR="0092293B" w:rsidRDefault="001935DE" w:rsidP="0092293B">
      <w:pPr>
        <w:pStyle w:val="Heading2"/>
      </w:pPr>
      <w:r>
        <w:t xml:space="preserve">Advanced: Computing </w:t>
      </w:r>
      <w:r w:rsidRPr="001935DE">
        <w:rPr>
          <w:u w:val="single"/>
        </w:rPr>
        <w:t>R</w:t>
      </w:r>
      <w:r>
        <w:t xml:space="preserve">eturn </w:t>
      </w:r>
      <w:r w:rsidRPr="001935DE">
        <w:rPr>
          <w:u w:val="single"/>
        </w:rPr>
        <w:t>O</w:t>
      </w:r>
      <w:r>
        <w:t xml:space="preserve">n </w:t>
      </w:r>
      <w:r w:rsidRPr="001935DE">
        <w:rPr>
          <w:u w:val="single"/>
        </w:rPr>
        <w:t>M</w:t>
      </w:r>
      <w:r>
        <w:t xml:space="preserve">arket </w:t>
      </w:r>
      <w:r w:rsidRPr="001935DE">
        <w:rPr>
          <w:u w:val="single"/>
        </w:rPr>
        <w:t>E</w:t>
      </w:r>
      <w:r>
        <w:t>quity (ROME) by r</w:t>
      </w:r>
      <w:r w:rsidR="0092293B" w:rsidRPr="0092293B">
        <w:t>eplac</w:t>
      </w:r>
      <w:r w:rsidR="0092293B">
        <w:t>ing</w:t>
      </w:r>
      <w:r w:rsidR="0092293B" w:rsidRPr="0092293B">
        <w:t xml:space="preserve"> book value with stock price</w:t>
      </w:r>
    </w:p>
    <w:p w:rsidR="00DA4E34" w:rsidRDefault="00A2460C" w:rsidP="00DA4E34">
      <w:pPr>
        <w:pStyle w:val="BodyText"/>
      </w:pPr>
      <w:r>
        <w:t xml:space="preserve">Investors often raise the question “Does the stock look expensive/cheap given its past financial performance?” </w:t>
      </w:r>
      <w:r w:rsidR="00D11303">
        <w:t xml:space="preserve">They </w:t>
      </w:r>
      <w:r>
        <w:t xml:space="preserve">start by comparing the trailing price earnings ratio to the inverse of </w:t>
      </w:r>
      <w:r w:rsidR="0044622A">
        <w:t xml:space="preserve">the </w:t>
      </w:r>
      <w:r>
        <w:t xml:space="preserve">cost of equity. </w:t>
      </w:r>
      <w:r w:rsidR="00DA4E34">
        <w:t xml:space="preserve">However, the PE ratio is a single-period measure. We provide a way of incorporating multiple periods into the computation. We </w:t>
      </w:r>
      <w:r w:rsidR="00DA4E34" w:rsidRPr="00732EE2">
        <w:t>replace the current book value with the current marke</w:t>
      </w:r>
      <w:r w:rsidR="00DA4E34">
        <w:t xml:space="preserve">t value in our multiperiod computations, but otherwise keep all inputs and ROE </w:t>
      </w:r>
      <w:r w:rsidR="00DA4E34" w:rsidRPr="00732EE2">
        <w:t>computations the same. The so rede</w:t>
      </w:r>
      <w:r w:rsidR="00DA4E34">
        <w:t>fined ROE can be thought of as Return on Market Equity (ROME)</w:t>
      </w:r>
      <w:r w:rsidR="00DA4E34" w:rsidRPr="00732EE2">
        <w:t xml:space="preserve">. </w:t>
      </w:r>
      <w:r w:rsidR="00DA4E34">
        <w:t xml:space="preserve">In a one-period setting, </w:t>
      </w:r>
      <w:smartTag w:uri="urn:schemas-microsoft-com:office:smarttags" w:element="City">
        <w:smartTag w:uri="urn:schemas-microsoft-com:office:smarttags" w:element="place">
          <w:r w:rsidR="00DA4E34">
            <w:t>ROME</w:t>
          </w:r>
        </w:smartTag>
      </w:smartTag>
      <w:r w:rsidR="00DA4E34">
        <w:t xml:space="preserve"> is simply the trailing earnings yield or the inverse of the trailing PE ratio. Our multi-year computation of </w:t>
      </w:r>
      <w:smartTag w:uri="urn:schemas-microsoft-com:office:smarttags" w:element="City">
        <w:r w:rsidR="00DA4E34">
          <w:t>ROME</w:t>
        </w:r>
      </w:smartTag>
      <w:r w:rsidR="00DA4E34">
        <w:t xml:space="preserve"> reduces the sensitivity of </w:t>
      </w:r>
      <w:smartTag w:uri="urn:schemas-microsoft-com:office:smarttags" w:element="City">
        <w:smartTag w:uri="urn:schemas-microsoft-com:office:smarttags" w:element="place">
          <w:r w:rsidR="00DA4E34">
            <w:t>ROME</w:t>
          </w:r>
        </w:smartTag>
      </w:smartTag>
      <w:r w:rsidR="00DA4E34">
        <w:t xml:space="preserve"> to timing issues.</w:t>
      </w:r>
    </w:p>
    <w:p w:rsidR="00A2460C" w:rsidRDefault="00A2460C" w:rsidP="00A2460C">
      <w:pPr>
        <w:pStyle w:val="BodyText"/>
      </w:pPr>
      <w:r>
        <w:t xml:space="preserve">ROME </w:t>
      </w:r>
      <w:r w:rsidR="006959F4">
        <w:t xml:space="preserve">is </w:t>
      </w:r>
      <w:r>
        <w:t xml:space="preserve">a percentage performance score </w:t>
      </w:r>
      <w:r w:rsidR="00DA4E34">
        <w:t>that</w:t>
      </w:r>
      <w:r>
        <w:t xml:space="preserve"> can be compared to the cost of equity: A stock looks cheap relative to its track record when </w:t>
      </w:r>
      <w:r w:rsidR="006959F4">
        <w:t xml:space="preserve">ROME exceeds its cost of equity, and vice versa. </w:t>
      </w:r>
      <w:r w:rsidR="004206DC">
        <w:t>However, there is always a competing reason other than mis</w:t>
      </w:r>
      <w:r>
        <w:t>pricing. First, the past performance may not be a good indication of the future performance. Second, there are numerous hard-to-resolve issues related to how far back one wants to go in time and the extent to which the ROME depends on accounting principles. Accordingly, ROME can only be part of the information that leads to a buy or sell decision.</w:t>
      </w:r>
    </w:p>
    <w:p w:rsidR="00571451" w:rsidRDefault="00571451" w:rsidP="00571451">
      <w:pPr>
        <w:pStyle w:val="Heading1"/>
      </w:pPr>
      <w:r>
        <w:t>Enterprise-level or unlevered analysis</w:t>
      </w:r>
    </w:p>
    <w:p w:rsidR="00807C5B" w:rsidRPr="002E06CB" w:rsidRDefault="00807C5B" w:rsidP="003C2AA2">
      <w:pPr>
        <w:pStyle w:val="BodyText"/>
      </w:pPr>
      <w:r>
        <w:t xml:space="preserve">The second spreadsheet </w:t>
      </w:r>
      <w:r w:rsidR="00571451">
        <w:t>shifts the analysis to enterprise activities</w:t>
      </w:r>
      <w:r>
        <w:t xml:space="preserve"> to derive unlevered ratios</w:t>
      </w:r>
      <w:r w:rsidR="00C30F2C">
        <w:t xml:space="preserve"> and highlight the role of enterprise cash flows (ECF)</w:t>
      </w:r>
      <w:r w:rsidR="00571451">
        <w:t xml:space="preserve">. </w:t>
      </w:r>
      <w:r w:rsidR="00C30F2C">
        <w:t>The analysis also shifts from a per share basis to a total dollar basis</w:t>
      </w:r>
      <w:r w:rsidR="00C30F2C" w:rsidRPr="002E06CB">
        <w:t xml:space="preserve"> </w:t>
      </w:r>
      <w:r w:rsidR="002E06CB" w:rsidRPr="002E06CB">
        <w:t>because the number of shares outstanding depends on the financial policy.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022"/>
        <w:gridCol w:w="6022"/>
      </w:tblGrid>
      <w:tr w:rsidR="00807C5B" w:rsidTr="000D6966">
        <w:trPr>
          <w:cantSplit/>
        </w:trPr>
        <w:tc>
          <w:tcPr>
            <w:tcW w:w="0" w:type="auto"/>
            <w:shd w:val="clear" w:color="auto" w:fill="CCECFF"/>
          </w:tcPr>
          <w:p w:rsidR="00807C5B" w:rsidRDefault="00807C5B" w:rsidP="000D6966">
            <w:pPr>
              <w:pStyle w:val="TableLeftText"/>
              <w:keepNext/>
            </w:pPr>
            <w:r>
              <w:t>Equity-level or levered analysis</w:t>
            </w:r>
          </w:p>
        </w:tc>
        <w:tc>
          <w:tcPr>
            <w:tcW w:w="0" w:type="auto"/>
            <w:shd w:val="clear" w:color="auto" w:fill="CCECFF"/>
          </w:tcPr>
          <w:p w:rsidR="00807C5B" w:rsidRDefault="00C27C27" w:rsidP="000D6966">
            <w:pPr>
              <w:pStyle w:val="TableLeftText"/>
              <w:keepNext/>
            </w:pPr>
            <w:r>
              <w:t>Enterprise-level or un</w:t>
            </w:r>
            <w:r w:rsidR="00807C5B">
              <w:t>levered analysis</w:t>
            </w:r>
          </w:p>
        </w:tc>
      </w:tr>
      <w:tr w:rsidR="00807C5B" w:rsidTr="000D6966">
        <w:trPr>
          <w:cantSplit/>
        </w:trPr>
        <w:tc>
          <w:tcPr>
            <w:tcW w:w="0" w:type="auto"/>
            <w:shd w:val="clear" w:color="auto" w:fill="auto"/>
          </w:tcPr>
          <w:p w:rsidR="00807C5B" w:rsidRDefault="00C30F2C" w:rsidP="000D6966">
            <w:pPr>
              <w:pStyle w:val="TableLeftText"/>
              <w:keepNext/>
            </w:pPr>
            <w:r>
              <w:t>Book value of e</w:t>
            </w:r>
            <w:r w:rsidR="00807C5B">
              <w:t>quity</w:t>
            </w:r>
            <w:r>
              <w:t xml:space="preserve"> per share</w:t>
            </w:r>
          </w:p>
        </w:tc>
        <w:tc>
          <w:tcPr>
            <w:tcW w:w="0" w:type="auto"/>
            <w:shd w:val="clear" w:color="auto" w:fill="auto"/>
          </w:tcPr>
          <w:p w:rsidR="00807C5B" w:rsidRDefault="00807C5B" w:rsidP="000D6966">
            <w:pPr>
              <w:pStyle w:val="TableLeftText"/>
              <w:keepNext/>
            </w:pPr>
            <w:r>
              <w:t>Net enterprise assets [NEA]</w:t>
            </w:r>
          </w:p>
        </w:tc>
      </w:tr>
      <w:tr w:rsidR="00807C5B" w:rsidTr="000D6966">
        <w:trPr>
          <w:cantSplit/>
        </w:trPr>
        <w:tc>
          <w:tcPr>
            <w:tcW w:w="0" w:type="auto"/>
            <w:shd w:val="clear" w:color="auto" w:fill="auto"/>
          </w:tcPr>
          <w:p w:rsidR="00807C5B" w:rsidRDefault="00807C5B" w:rsidP="000D6966">
            <w:pPr>
              <w:pStyle w:val="TableLeftText"/>
              <w:keepNext/>
            </w:pPr>
            <w:r>
              <w:t>Dividends</w:t>
            </w:r>
            <w:r w:rsidR="00C30F2C">
              <w:t xml:space="preserve"> per share</w:t>
            </w:r>
          </w:p>
        </w:tc>
        <w:tc>
          <w:tcPr>
            <w:tcW w:w="0" w:type="auto"/>
            <w:shd w:val="clear" w:color="auto" w:fill="auto"/>
          </w:tcPr>
          <w:p w:rsidR="00807C5B" w:rsidRDefault="00D11303" w:rsidP="00D11303">
            <w:pPr>
              <w:pStyle w:val="TableLeftText"/>
              <w:keepNext/>
            </w:pPr>
            <w:r>
              <w:t>E</w:t>
            </w:r>
            <w:r w:rsidR="00807C5B">
              <w:t>nterprise cash flows [ECF]</w:t>
            </w:r>
          </w:p>
        </w:tc>
      </w:tr>
      <w:tr w:rsidR="00807C5B" w:rsidTr="000D6966">
        <w:trPr>
          <w:cantSplit/>
        </w:trPr>
        <w:tc>
          <w:tcPr>
            <w:tcW w:w="0" w:type="auto"/>
            <w:shd w:val="clear" w:color="auto" w:fill="auto"/>
          </w:tcPr>
          <w:p w:rsidR="00807C5B" w:rsidRDefault="00807C5B" w:rsidP="000D6966">
            <w:pPr>
              <w:pStyle w:val="TableLeftText"/>
              <w:keepNext/>
            </w:pPr>
            <w:r>
              <w:t>Earnings</w:t>
            </w:r>
            <w:r w:rsidR="00C30F2C">
              <w:t xml:space="preserve"> per share</w:t>
            </w:r>
          </w:p>
        </w:tc>
        <w:tc>
          <w:tcPr>
            <w:tcW w:w="0" w:type="auto"/>
            <w:shd w:val="clear" w:color="auto" w:fill="auto"/>
          </w:tcPr>
          <w:p w:rsidR="00807C5B" w:rsidRDefault="00807C5B" w:rsidP="000D6966">
            <w:pPr>
              <w:pStyle w:val="TableLeftText"/>
              <w:keepNext/>
            </w:pPr>
            <w:smartTag w:uri="urn:schemas-microsoft-com:office:smarttags" w:element="place">
              <w:smartTag w:uri="urn:schemas-microsoft-com:office:smarttags" w:element="City">
                <w:r>
                  <w:t>Enterprise</w:t>
                </w:r>
              </w:smartTag>
            </w:smartTag>
            <w:r>
              <w:t xml:space="preserve"> profit after tax [EPAT]</w:t>
            </w:r>
          </w:p>
        </w:tc>
      </w:tr>
      <w:tr w:rsidR="00807C5B" w:rsidTr="000D6966">
        <w:trPr>
          <w:cantSplit/>
        </w:trPr>
        <w:tc>
          <w:tcPr>
            <w:tcW w:w="0" w:type="auto"/>
            <w:shd w:val="clear" w:color="auto" w:fill="auto"/>
          </w:tcPr>
          <w:p w:rsidR="00807C5B" w:rsidRPr="00D11303" w:rsidRDefault="00807C5B" w:rsidP="000D6966">
            <w:pPr>
              <w:pStyle w:val="TableLeftText"/>
              <w:keepNext/>
              <w:rPr>
                <w:rStyle w:val="Emphasize"/>
              </w:rPr>
            </w:pPr>
            <w:r w:rsidRPr="00D11303">
              <w:rPr>
                <w:rStyle w:val="Emphasize"/>
              </w:rPr>
              <w:t>ROE</w:t>
            </w:r>
          </w:p>
        </w:tc>
        <w:tc>
          <w:tcPr>
            <w:tcW w:w="0" w:type="auto"/>
            <w:shd w:val="clear" w:color="auto" w:fill="auto"/>
          </w:tcPr>
          <w:p w:rsidR="00807C5B" w:rsidRPr="00D11303" w:rsidRDefault="00807C5B" w:rsidP="000D6966">
            <w:pPr>
              <w:pStyle w:val="TableLeftText"/>
              <w:keepNext/>
              <w:rPr>
                <w:rStyle w:val="Emphasize"/>
              </w:rPr>
            </w:pPr>
            <w:r w:rsidRPr="00D11303">
              <w:rPr>
                <w:rStyle w:val="Emphasize"/>
              </w:rPr>
              <w:t>Return on invested capital [ROIC] or return on NEA [RNEA]</w:t>
            </w:r>
          </w:p>
        </w:tc>
      </w:tr>
      <w:tr w:rsidR="001F0376" w:rsidTr="000D6966">
        <w:trPr>
          <w:cantSplit/>
        </w:trPr>
        <w:tc>
          <w:tcPr>
            <w:tcW w:w="0" w:type="auto"/>
            <w:shd w:val="clear" w:color="auto" w:fill="auto"/>
          </w:tcPr>
          <w:p w:rsidR="001F0376" w:rsidRPr="00D11303" w:rsidRDefault="001F0376" w:rsidP="009B193F">
            <w:pPr>
              <w:pStyle w:val="TableLeftText"/>
              <w:rPr>
                <w:rStyle w:val="Emphasize"/>
              </w:rPr>
            </w:pPr>
            <w:r w:rsidRPr="00D11303">
              <w:rPr>
                <w:rStyle w:val="Emphasize"/>
              </w:rPr>
              <w:t>Equity or levered IRR</w:t>
            </w:r>
          </w:p>
        </w:tc>
        <w:tc>
          <w:tcPr>
            <w:tcW w:w="0" w:type="auto"/>
            <w:shd w:val="clear" w:color="auto" w:fill="auto"/>
          </w:tcPr>
          <w:p w:rsidR="001F0376" w:rsidRPr="00D11303" w:rsidRDefault="001F0376" w:rsidP="009B193F">
            <w:pPr>
              <w:pStyle w:val="TableLeftText"/>
              <w:rPr>
                <w:rStyle w:val="Emphasize"/>
              </w:rPr>
            </w:pPr>
            <w:r w:rsidRPr="00D11303">
              <w:rPr>
                <w:rStyle w:val="Emphasize"/>
              </w:rPr>
              <w:t>Enterprise or unlevered IRR</w:t>
            </w:r>
          </w:p>
        </w:tc>
      </w:tr>
    </w:tbl>
    <w:p w:rsidR="00807C5B" w:rsidRDefault="00807C5B" w:rsidP="009B193F">
      <w:pPr>
        <w:pStyle w:val="6pointSpacer"/>
      </w:pPr>
    </w:p>
    <w:p w:rsidR="00D11303" w:rsidRDefault="00D11303" w:rsidP="003C2AA2">
      <w:pPr>
        <w:pStyle w:val="BodyText"/>
      </w:pPr>
      <w:r w:rsidRPr="00D11303">
        <w:t xml:space="preserve">The table </w:t>
      </w:r>
      <w:r>
        <w:t xml:space="preserve">shows that </w:t>
      </w:r>
      <w:r w:rsidRPr="00D11303">
        <w:t xml:space="preserve">the two key metrics </w:t>
      </w:r>
      <w:r>
        <w:t xml:space="preserve">correspond </w:t>
      </w:r>
      <w:r w:rsidRPr="00D11303">
        <w:t xml:space="preserve">to </w:t>
      </w:r>
      <w:r>
        <w:t>multi</w:t>
      </w:r>
      <w:r w:rsidRPr="00D11303">
        <w:t>period ROIC and unlever</w:t>
      </w:r>
      <w:r>
        <w:t>ed IRR.</w:t>
      </w:r>
    </w:p>
    <w:p w:rsidR="00D11303" w:rsidRDefault="00D11303" w:rsidP="003C2AA2">
      <w:pPr>
        <w:pStyle w:val="BodyText"/>
      </w:pPr>
      <w:r w:rsidRPr="00D11303">
        <w:t xml:space="preserve">A new feature of this spreadsheet pertains to sales: </w:t>
      </w:r>
      <w:r>
        <w:t xml:space="preserve">sales growth is now compared to the </w:t>
      </w:r>
      <w:r w:rsidRPr="00D11303">
        <w:t xml:space="preserve">growth in </w:t>
      </w:r>
      <w:r w:rsidR="006959F4">
        <w:t xml:space="preserve">net enterprise </w:t>
      </w:r>
      <w:r w:rsidR="002B5A10">
        <w:t>assets</w:t>
      </w:r>
      <w:r w:rsidRPr="00D11303">
        <w:t xml:space="preserve"> (NEA). </w:t>
      </w:r>
      <w:r>
        <w:t xml:space="preserve">NEA growth can exceed sales growth for </w:t>
      </w:r>
      <w:r w:rsidR="00576D56">
        <w:t>four</w:t>
      </w:r>
      <w:r>
        <w:t xml:space="preserve"> reasons. First</w:t>
      </w:r>
      <w:r w:rsidRPr="00D11303">
        <w:t xml:space="preserve">, </w:t>
      </w:r>
      <w:r>
        <w:t xml:space="preserve">the firm is investing in NEA and the sales will follow, i.e., NEA growth is a leading indicator </w:t>
      </w:r>
      <w:r w:rsidR="006959F4">
        <w:t>of</w:t>
      </w:r>
      <w:r>
        <w:t xml:space="preserve"> expected sales growth. </w:t>
      </w:r>
      <w:r w:rsidRPr="00D11303">
        <w:t xml:space="preserve">Second, the firm </w:t>
      </w:r>
      <w:r>
        <w:t>has</w:t>
      </w:r>
      <w:r w:rsidRPr="00D11303">
        <w:t xml:space="preserve"> shifted its strategy by moving to a</w:t>
      </w:r>
      <w:r>
        <w:t xml:space="preserve"> lower sales volume but</w:t>
      </w:r>
      <w:r w:rsidR="006959F4">
        <w:t xml:space="preserve"> a</w:t>
      </w:r>
      <w:r w:rsidRPr="00D11303">
        <w:t xml:space="preserve"> higher</w:t>
      </w:r>
      <w:r>
        <w:t xml:space="preserve"> profit margin business. Third,</w:t>
      </w:r>
      <w:r w:rsidR="00576D56">
        <w:t xml:space="preserve"> the firm’s productivity in using its assets is falling. Fourth, </w:t>
      </w:r>
      <w:r>
        <w:t>the firm has overstated enterprise assets or understated enterprise liabilities. This will reverse in the future and hurt profits</w:t>
      </w:r>
      <w:r w:rsidRPr="00D11303">
        <w:t>. While it is no</w:t>
      </w:r>
      <w:r w:rsidR="00576D56">
        <w:t>t</w:t>
      </w:r>
      <w:r w:rsidRPr="00D11303">
        <w:t xml:space="preserve"> easy to </w:t>
      </w:r>
      <w:r w:rsidR="00576D56">
        <w:t>pinpoint the cause of disproportionate rise in NEA, one must consider the</w:t>
      </w:r>
      <w:r w:rsidR="006959F4">
        <w:t>se</w:t>
      </w:r>
      <w:r w:rsidR="00576D56">
        <w:t xml:space="preserve"> possibilities when interpreting. </w:t>
      </w:r>
      <w:r w:rsidRPr="00D11303">
        <w:t>multipe</w:t>
      </w:r>
      <w:r w:rsidR="00576D56">
        <w:t>riod ROIC and unlevered IRR.</w:t>
      </w:r>
    </w:p>
    <w:p w:rsidR="00384F40" w:rsidRDefault="00384F40" w:rsidP="00405CB8">
      <w:pPr>
        <w:pStyle w:val="Heading1"/>
      </w:pPr>
      <w:r>
        <w:t>Detailed steps to be read with the spreadsheet</w:t>
      </w:r>
    </w:p>
    <w:p w:rsidR="008C7D67" w:rsidRDefault="008C7D67" w:rsidP="008C7D67">
      <w:pPr>
        <w:pStyle w:val="BodyText"/>
      </w:pPr>
      <w:r>
        <w:t>The numbers below are assumed to be on a per share basis. One can also use total dollar amounts as long as one changes dividends per share to dividends net of capital contributions.</w:t>
      </w:r>
    </w:p>
    <w:p w:rsidR="00720684" w:rsidRDefault="00720684" w:rsidP="00550272">
      <w:pPr>
        <w:pStyle w:val="Heading2"/>
      </w:pPr>
      <w:r>
        <w:t>Intermediate computations</w:t>
      </w:r>
    </w:p>
    <w:p w:rsidR="00550272" w:rsidRDefault="00550272" w:rsidP="00720684">
      <w:pPr>
        <w:pStyle w:val="Heading3"/>
      </w:pPr>
      <w:r>
        <w:t>Earnings</w:t>
      </w:r>
    </w:p>
    <w:p w:rsidR="00F0182C" w:rsidRDefault="00120128" w:rsidP="00EE03EB">
      <w:pPr>
        <w:pStyle w:val="BodyText"/>
        <w:numPr>
          <w:ilvl w:val="0"/>
          <w:numId w:val="41"/>
        </w:numPr>
      </w:pPr>
      <w:r>
        <w:t xml:space="preserve">Input: </w:t>
      </w:r>
      <w:r w:rsidR="00BF5F7F">
        <w:t xml:space="preserve">Earnings per share </w:t>
      </w:r>
      <w:r>
        <w:t>e</w:t>
      </w:r>
      <w:r w:rsidRPr="00120128">
        <w:rPr>
          <w:vertAlign w:val="subscript"/>
        </w:rPr>
        <w:t>-</w:t>
      </w:r>
      <w:r>
        <w:rPr>
          <w:vertAlign w:val="subscript"/>
        </w:rPr>
        <w:t>n</w:t>
      </w:r>
      <w:r w:rsidR="00211E59">
        <w:t xml:space="preserve"> </w:t>
      </w:r>
      <w:r w:rsidR="00BF5F7F">
        <w:t>for the current year and previous five years</w:t>
      </w:r>
      <w:r w:rsidR="0011198F">
        <w:t>.</w:t>
      </w:r>
      <w:r w:rsidR="0011198F" w:rsidRPr="0011198F">
        <w:t xml:space="preserve"> The </w:t>
      </w:r>
      <w:r w:rsidR="0011198F">
        <w:t>EPS</w:t>
      </w:r>
      <w:r w:rsidR="0011198F" w:rsidRPr="0011198F">
        <w:t xml:space="preserve"> numbers should includ</w:t>
      </w:r>
      <w:r w:rsidR="0011198F">
        <w:t>e</w:t>
      </w:r>
      <w:r w:rsidR="0011198F" w:rsidRPr="0011198F">
        <w:t xml:space="preserve"> all non-recurring items (such as gains/losses due to discontinued operations). Conservatism also suggests that the diluted </w:t>
      </w:r>
      <w:r w:rsidR="0011198F">
        <w:t>EPS</w:t>
      </w:r>
      <w:r w:rsidR="0011198F" w:rsidRPr="0011198F">
        <w:t xml:space="preserve"> are preferable to basic </w:t>
      </w:r>
      <w:r w:rsidR="0011198F">
        <w:t>EPS</w:t>
      </w:r>
      <w:r w:rsidR="0011198F" w:rsidRPr="0011198F">
        <w:t>.</w:t>
      </w:r>
    </w:p>
    <w:p w:rsidR="001018F7" w:rsidRDefault="001018F7" w:rsidP="001018F7">
      <w:pPr>
        <w:pStyle w:val="BodyText"/>
        <w:numPr>
          <w:ilvl w:val="1"/>
          <w:numId w:val="41"/>
        </w:numPr>
      </w:pPr>
      <w:r w:rsidRPr="001018F7">
        <w:t xml:space="preserve">The spreadsheet refers to data on a per share basis. This approach is the simplest one because </w:t>
      </w:r>
      <w:r>
        <w:t>EPS</w:t>
      </w:r>
      <w:r w:rsidRPr="001018F7">
        <w:t xml:space="preserve"> and </w:t>
      </w:r>
      <w:r>
        <w:t>DPS</w:t>
      </w:r>
      <w:r w:rsidRPr="001018F7">
        <w:t xml:space="preserve"> histories on a comparable per share basis are readily available. The spreadsheet works equally well on a total dollar basis. In that case</w:t>
      </w:r>
      <w:r>
        <w:t>,</w:t>
      </w:r>
      <w:r w:rsidRPr="001018F7">
        <w:t xml:space="preserve"> one derives the net dividends via the equation</w:t>
      </w:r>
      <w:r>
        <w:t>,</w:t>
      </w:r>
      <w:r w:rsidRPr="001018F7">
        <w:t xml:space="preserve"> net dividend </w:t>
      </w:r>
      <w:r w:rsidR="00166144">
        <w:t>=</w:t>
      </w:r>
      <w:r>
        <w:t xml:space="preserve"> </w:t>
      </w:r>
      <w:r w:rsidRPr="001018F7">
        <w:t xml:space="preserve">comprehensive earnings </w:t>
      </w:r>
      <w:r w:rsidR="00166144">
        <w:t>-</w:t>
      </w:r>
      <w:r w:rsidRPr="001018F7">
        <w:t xml:space="preserve"> change in equity.</w:t>
      </w:r>
    </w:p>
    <w:p w:rsidR="00405CB8" w:rsidRDefault="00F0182C" w:rsidP="00EE03EB">
      <w:pPr>
        <w:pStyle w:val="BodyText"/>
        <w:numPr>
          <w:ilvl w:val="0"/>
          <w:numId w:val="41"/>
        </w:numPr>
      </w:pPr>
      <w:r>
        <w:t>Refer to the input for earnings per share.</w:t>
      </w:r>
      <w:r w:rsidR="000A3F1B">
        <w:t xml:space="preserve"> </w:t>
      </w:r>
    </w:p>
    <w:p w:rsidR="00BF5F7F" w:rsidRDefault="00BF5F7F" w:rsidP="00EE03EB">
      <w:pPr>
        <w:pStyle w:val="BodyText"/>
        <w:numPr>
          <w:ilvl w:val="0"/>
          <w:numId w:val="41"/>
        </w:numPr>
      </w:pPr>
      <w:r>
        <w:t>Sum these earnings over six years</w:t>
      </w:r>
      <w:r w:rsidR="00120128">
        <w:t>: E</w:t>
      </w:r>
      <w:r w:rsidR="00120128" w:rsidRPr="00120128">
        <w:rPr>
          <w:vertAlign w:val="subscript"/>
        </w:rPr>
        <w:t>0</w:t>
      </w:r>
    </w:p>
    <w:p w:rsidR="00550272" w:rsidRDefault="00550272" w:rsidP="00720684">
      <w:pPr>
        <w:pStyle w:val="Heading3"/>
      </w:pPr>
      <w:r>
        <w:t>Dividends</w:t>
      </w:r>
    </w:p>
    <w:p w:rsidR="000A3F1B" w:rsidRDefault="000A3F1B" w:rsidP="00EE03EB">
      <w:pPr>
        <w:pStyle w:val="BodyText"/>
        <w:numPr>
          <w:ilvl w:val="0"/>
          <w:numId w:val="41"/>
        </w:numPr>
      </w:pPr>
      <w:r>
        <w:t xml:space="preserve">Input: Dividends per share </w:t>
      </w:r>
      <w:r w:rsidR="00120128">
        <w:t>d</w:t>
      </w:r>
      <w:r w:rsidR="00120128" w:rsidRPr="00120128">
        <w:rPr>
          <w:vertAlign w:val="subscript"/>
        </w:rPr>
        <w:t>-</w:t>
      </w:r>
      <w:r w:rsidR="00120128">
        <w:rPr>
          <w:vertAlign w:val="subscript"/>
        </w:rPr>
        <w:t>n</w:t>
      </w:r>
      <w:r w:rsidR="00120128">
        <w:t xml:space="preserve"> </w:t>
      </w:r>
      <w:r>
        <w:t>for the current year and previous five years</w:t>
      </w:r>
    </w:p>
    <w:p w:rsidR="00F0182C" w:rsidRDefault="00F0182C" w:rsidP="00EE03EB">
      <w:pPr>
        <w:pStyle w:val="BodyText"/>
        <w:numPr>
          <w:ilvl w:val="0"/>
          <w:numId w:val="41"/>
        </w:numPr>
      </w:pPr>
      <w:r>
        <w:t>Refer to the input for dividends per share</w:t>
      </w:r>
    </w:p>
    <w:p w:rsidR="00FE0A50" w:rsidRPr="00711F7A" w:rsidRDefault="00FE0A50" w:rsidP="00EE03EB">
      <w:pPr>
        <w:pStyle w:val="BodyText"/>
        <w:numPr>
          <w:ilvl w:val="0"/>
          <w:numId w:val="41"/>
        </w:numPr>
      </w:pPr>
      <w:r>
        <w:t>Sum these dividends over six years: D</w:t>
      </w:r>
      <w:r w:rsidRPr="00FE0A50">
        <w:rPr>
          <w:vertAlign w:val="subscript"/>
        </w:rPr>
        <w:t>0</w:t>
      </w:r>
    </w:p>
    <w:p w:rsidR="00711F7A" w:rsidRDefault="00711F7A" w:rsidP="00711F7A">
      <w:pPr>
        <w:pStyle w:val="Heading3"/>
      </w:pPr>
      <w:r>
        <w:t>Reconstructed historical book values</w:t>
      </w:r>
    </w:p>
    <w:p w:rsidR="00711F7A" w:rsidRDefault="00711F7A" w:rsidP="00EE03EB">
      <w:pPr>
        <w:pStyle w:val="BodyText"/>
        <w:numPr>
          <w:ilvl w:val="0"/>
          <w:numId w:val="41"/>
        </w:numPr>
      </w:pPr>
      <w:r>
        <w:t>Input: Current book value is given.</w:t>
      </w:r>
    </w:p>
    <w:p w:rsidR="00711F7A" w:rsidRDefault="00711F7A" w:rsidP="00EE03EB">
      <w:pPr>
        <w:pStyle w:val="BodyText"/>
        <w:numPr>
          <w:ilvl w:val="0"/>
          <w:numId w:val="41"/>
        </w:numPr>
      </w:pPr>
      <w:r>
        <w:t>Infer book values b</w:t>
      </w:r>
      <w:r>
        <w:rPr>
          <w:vertAlign w:val="subscript"/>
        </w:rPr>
        <w:t>-n</w:t>
      </w:r>
      <w:r>
        <w:t xml:space="preserve"> at the end of each prior year.</w:t>
      </w:r>
      <w:r w:rsidR="000431AC">
        <w:t xml:space="preserve"> b</w:t>
      </w:r>
      <w:r w:rsidR="000431AC">
        <w:rPr>
          <w:vertAlign w:val="subscript"/>
        </w:rPr>
        <w:t>-n</w:t>
      </w:r>
      <w:r w:rsidR="000431AC">
        <w:t xml:space="preserve"> = b</w:t>
      </w:r>
      <w:r w:rsidR="000431AC">
        <w:rPr>
          <w:vertAlign w:val="subscript"/>
        </w:rPr>
        <w:t>-n+1</w:t>
      </w:r>
      <w:r w:rsidR="000431AC">
        <w:t xml:space="preserve"> – (e</w:t>
      </w:r>
      <w:r w:rsidR="000431AC">
        <w:rPr>
          <w:vertAlign w:val="subscript"/>
        </w:rPr>
        <w:t>-n+1</w:t>
      </w:r>
      <w:r w:rsidR="000431AC">
        <w:t xml:space="preserve"> - d</w:t>
      </w:r>
      <w:r w:rsidR="000431AC">
        <w:rPr>
          <w:vertAlign w:val="subscript"/>
        </w:rPr>
        <w:t>-n+1</w:t>
      </w:r>
      <w:r w:rsidR="000431AC">
        <w:t>)</w:t>
      </w:r>
    </w:p>
    <w:p w:rsidR="00550272" w:rsidRDefault="000C54DC" w:rsidP="000C54DC">
      <w:pPr>
        <w:pStyle w:val="Heading2"/>
      </w:pPr>
      <w:r>
        <w:t>IRR computation</w:t>
      </w:r>
    </w:p>
    <w:p w:rsidR="000C54DC" w:rsidRDefault="000C54DC" w:rsidP="00EE03EB">
      <w:pPr>
        <w:pStyle w:val="BodyText"/>
        <w:numPr>
          <w:ilvl w:val="0"/>
          <w:numId w:val="41"/>
        </w:numPr>
      </w:pPr>
      <w:r>
        <w:t>Assume that an investor purchased the firm by paying b</w:t>
      </w:r>
      <w:r w:rsidRPr="000C54DC">
        <w:rPr>
          <w:vertAlign w:val="subscript"/>
        </w:rPr>
        <w:t>-6</w:t>
      </w:r>
      <w:r>
        <w:t xml:space="preserve"> at the end of Y</w:t>
      </w:r>
      <w:r w:rsidRPr="000C54DC">
        <w:rPr>
          <w:vertAlign w:val="subscript"/>
        </w:rPr>
        <w:t>-6</w:t>
      </w:r>
      <w:r>
        <w:t>.</w:t>
      </w:r>
    </w:p>
    <w:p w:rsidR="000C54DC" w:rsidRDefault="000C54DC" w:rsidP="00EE03EB">
      <w:pPr>
        <w:pStyle w:val="BodyText"/>
        <w:numPr>
          <w:ilvl w:val="0"/>
          <w:numId w:val="41"/>
        </w:numPr>
      </w:pPr>
      <w:r>
        <w:t>The investor receives dividends each year.</w:t>
      </w:r>
    </w:p>
    <w:p w:rsidR="000C54DC" w:rsidRDefault="000C54DC" w:rsidP="00EE03EB">
      <w:pPr>
        <w:pStyle w:val="BodyText"/>
        <w:numPr>
          <w:ilvl w:val="0"/>
          <w:numId w:val="41"/>
        </w:numPr>
      </w:pPr>
      <w:r>
        <w:t>The investor sells the firm for b</w:t>
      </w:r>
      <w:r w:rsidRPr="000C54DC">
        <w:rPr>
          <w:vertAlign w:val="subscript"/>
        </w:rPr>
        <w:t>0</w:t>
      </w:r>
      <w:r>
        <w:t xml:space="preserve"> at the end of Y</w:t>
      </w:r>
      <w:r w:rsidRPr="000C54DC">
        <w:rPr>
          <w:vertAlign w:val="subscript"/>
        </w:rPr>
        <w:t>0</w:t>
      </w:r>
      <w:r w:rsidR="00E54EDD">
        <w:t>.</w:t>
      </w:r>
    </w:p>
    <w:p w:rsidR="000C54DC" w:rsidRDefault="000C54DC" w:rsidP="00EE03EB">
      <w:pPr>
        <w:pStyle w:val="BodyText"/>
        <w:numPr>
          <w:ilvl w:val="0"/>
          <w:numId w:val="41"/>
        </w:numPr>
      </w:pPr>
      <w:r>
        <w:t>Hypothetical cash flows = Sum of the above three items</w:t>
      </w:r>
    </w:p>
    <w:p w:rsidR="000C54DC" w:rsidRDefault="000C54DC" w:rsidP="00EE03EB">
      <w:pPr>
        <w:pStyle w:val="BodyText"/>
        <w:numPr>
          <w:ilvl w:val="0"/>
          <w:numId w:val="41"/>
        </w:numPr>
      </w:pPr>
      <w:r>
        <w:t>Use the Excel IRR function to compute the internal rate of return.</w:t>
      </w:r>
    </w:p>
    <w:p w:rsidR="00677003" w:rsidRDefault="00677003" w:rsidP="00677003">
      <w:pPr>
        <w:pStyle w:val="Heading3"/>
      </w:pPr>
      <w:r>
        <w:t>Cost of equity: Hypothetical earnings rate on dividends</w:t>
      </w:r>
    </w:p>
    <w:p w:rsidR="00677003" w:rsidRDefault="00677003" w:rsidP="00677003">
      <w:pPr>
        <w:numPr>
          <w:ilvl w:val="0"/>
          <w:numId w:val="41"/>
        </w:numPr>
      </w:pPr>
      <w:r>
        <w:t>Input: Cost of equity r</w:t>
      </w:r>
      <w:r>
        <w:rPr>
          <w:vertAlign w:val="subscript"/>
        </w:rPr>
        <w:t>e</w:t>
      </w:r>
      <w:r>
        <w:t xml:space="preserve">. This is the yield assumed to be obtainable on dividends had they been reinvested. </w:t>
      </w:r>
    </w:p>
    <w:p w:rsidR="00677003" w:rsidRDefault="00677003" w:rsidP="00677003">
      <w:pPr>
        <w:pStyle w:val="Heading3"/>
      </w:pPr>
      <w:r>
        <w:t>Hypothetical earnings foregone because of dividends paid out</w:t>
      </w:r>
    </w:p>
    <w:p w:rsidR="00677003" w:rsidRDefault="00677003" w:rsidP="00677003">
      <w:pPr>
        <w:pStyle w:val="BodyText"/>
        <w:numPr>
          <w:ilvl w:val="0"/>
          <w:numId w:val="41"/>
        </w:numPr>
      </w:pPr>
      <w:r>
        <w:t>Compounding factor for dividends at the end of year-n is (1+r</w:t>
      </w:r>
      <w:r w:rsidRPr="00455755">
        <w:rPr>
          <w:vertAlign w:val="subscript"/>
        </w:rPr>
        <w:t>e</w:t>
      </w:r>
      <w:r>
        <w:t>)</w:t>
      </w:r>
      <w:r w:rsidRPr="00F741AC">
        <w:rPr>
          <w:vertAlign w:val="superscript"/>
        </w:rPr>
        <w:t>n</w:t>
      </w:r>
      <w:r>
        <w:t>. One could use quarterly data for earnings and dividends if more accuracy is desired.</w:t>
      </w:r>
    </w:p>
    <w:p w:rsidR="00677003" w:rsidRDefault="00677003" w:rsidP="00677003">
      <w:pPr>
        <w:pStyle w:val="BodyText"/>
        <w:numPr>
          <w:ilvl w:val="0"/>
          <w:numId w:val="41"/>
        </w:numPr>
      </w:pPr>
      <w:r>
        <w:t>Compound each year’s dividend to the end of the current year by multiplying by the compounding factor.</w:t>
      </w:r>
    </w:p>
    <w:p w:rsidR="00677003" w:rsidRDefault="00677003" w:rsidP="00677003">
      <w:pPr>
        <w:pStyle w:val="BodyText"/>
        <w:numPr>
          <w:ilvl w:val="0"/>
          <w:numId w:val="41"/>
        </w:numPr>
      </w:pPr>
      <w:r>
        <w:t>Subtract the original dividend to compute what could have been earned on those dividends at r</w:t>
      </w:r>
      <w:r w:rsidRPr="00455755">
        <w:rPr>
          <w:vertAlign w:val="subscript"/>
        </w:rPr>
        <w:t>e</w:t>
      </w:r>
      <w:r>
        <w:t>.</w:t>
      </w:r>
    </w:p>
    <w:p w:rsidR="00677003" w:rsidRPr="00550272" w:rsidRDefault="00677003" w:rsidP="00677003">
      <w:pPr>
        <w:pStyle w:val="BodyText"/>
        <w:numPr>
          <w:ilvl w:val="0"/>
          <w:numId w:val="41"/>
        </w:numPr>
      </w:pPr>
      <w:r>
        <w:t>Sum these foregone earnings: F</w:t>
      </w:r>
      <w:r w:rsidRPr="00120128">
        <w:rPr>
          <w:vertAlign w:val="subscript"/>
        </w:rPr>
        <w:t>0</w:t>
      </w:r>
    </w:p>
    <w:p w:rsidR="00677003" w:rsidRPr="00550272" w:rsidRDefault="00677003" w:rsidP="00677003">
      <w:pPr>
        <w:pStyle w:val="Heading2"/>
      </w:pPr>
      <w:r>
        <w:t>Multiperiod return on common equity</w:t>
      </w:r>
    </w:p>
    <w:p w:rsidR="00677003" w:rsidRDefault="00677003" w:rsidP="00677003">
      <w:pPr>
        <w:pStyle w:val="BodyText"/>
        <w:numPr>
          <w:ilvl w:val="0"/>
          <w:numId w:val="41"/>
        </w:numPr>
      </w:pPr>
      <w:r>
        <w:t>Numerator: Sum actual and foregone earnings over six years: E</w:t>
      </w:r>
      <w:r w:rsidRPr="00120128">
        <w:rPr>
          <w:vertAlign w:val="subscript"/>
        </w:rPr>
        <w:t>0</w:t>
      </w:r>
      <w:r>
        <w:t>+F</w:t>
      </w:r>
      <w:r w:rsidRPr="00120128">
        <w:rPr>
          <w:vertAlign w:val="subscript"/>
        </w:rPr>
        <w:t>0</w:t>
      </w:r>
    </w:p>
    <w:p w:rsidR="00677003" w:rsidRDefault="00677003" w:rsidP="00677003">
      <w:pPr>
        <w:pStyle w:val="BodyText"/>
        <w:numPr>
          <w:ilvl w:val="0"/>
          <w:numId w:val="41"/>
        </w:numPr>
      </w:pPr>
      <w:r>
        <w:t>Denominator: Book value at the end of Y</w:t>
      </w:r>
      <w:r>
        <w:rPr>
          <w:vertAlign w:val="subscript"/>
        </w:rPr>
        <w:t>-6</w:t>
      </w:r>
    </w:p>
    <w:p w:rsidR="00677003" w:rsidRPr="00C27CCA" w:rsidRDefault="00677003" w:rsidP="00677003">
      <w:pPr>
        <w:pStyle w:val="BodyText"/>
        <w:numPr>
          <w:ilvl w:val="0"/>
          <w:numId w:val="41"/>
        </w:numPr>
      </w:pPr>
      <w:r>
        <w:t>Total return over b</w:t>
      </w:r>
      <w:r w:rsidRPr="0016583F">
        <w:rPr>
          <w:vertAlign w:val="subscript"/>
        </w:rPr>
        <w:t>-6</w:t>
      </w:r>
      <w:r>
        <w:t xml:space="preserve"> = (E</w:t>
      </w:r>
      <w:r w:rsidRPr="0016583F">
        <w:rPr>
          <w:vertAlign w:val="subscript"/>
        </w:rPr>
        <w:t>0</w:t>
      </w:r>
      <w:r>
        <w:t xml:space="preserve"> + F</w:t>
      </w:r>
      <w:r w:rsidRPr="0016583F">
        <w:rPr>
          <w:vertAlign w:val="subscript"/>
        </w:rPr>
        <w:t>0</w:t>
      </w:r>
      <w:r>
        <w:t>)/</w:t>
      </w:r>
      <w:r w:rsidRPr="0016583F">
        <w:t xml:space="preserve"> </w:t>
      </w:r>
      <w:r>
        <w:t>b</w:t>
      </w:r>
      <w:r w:rsidRPr="0016583F">
        <w:rPr>
          <w:vertAlign w:val="subscript"/>
        </w:rPr>
        <w:t>-6</w:t>
      </w:r>
    </w:p>
    <w:p w:rsidR="00677003" w:rsidRPr="00550272" w:rsidRDefault="00677003" w:rsidP="00677003">
      <w:pPr>
        <w:pStyle w:val="BodyText"/>
        <w:numPr>
          <w:ilvl w:val="0"/>
          <w:numId w:val="41"/>
        </w:numPr>
      </w:pPr>
      <w:r>
        <w:t>Annualized return = (1 + total return)</w:t>
      </w:r>
      <w:r w:rsidRPr="00FE3C8E">
        <w:rPr>
          <w:vertAlign w:val="superscript"/>
        </w:rPr>
        <w:t>1/6</w:t>
      </w:r>
      <w:r>
        <w:t xml:space="preserve"> – 1.</w:t>
      </w:r>
    </w:p>
    <w:p w:rsidR="00677003" w:rsidRPr="0016583F" w:rsidRDefault="00677003" w:rsidP="00677003">
      <w:pPr>
        <w:pStyle w:val="Heading3"/>
      </w:pPr>
      <w:r>
        <w:t>Alternate computation of multiperiod ROE</w:t>
      </w:r>
    </w:p>
    <w:p w:rsidR="00677003" w:rsidRPr="00081E5E" w:rsidRDefault="00677003" w:rsidP="00677003">
      <w:pPr>
        <w:pStyle w:val="BodyText"/>
        <w:numPr>
          <w:ilvl w:val="0"/>
          <w:numId w:val="41"/>
        </w:numPr>
      </w:pPr>
      <w:r>
        <w:t>h</w:t>
      </w:r>
      <w:r>
        <w:rPr>
          <w:vertAlign w:val="subscript"/>
        </w:rPr>
        <w:t>0</w:t>
      </w:r>
      <w:r>
        <w:t xml:space="preserve"> = Hypothetical book value at the end of Y</w:t>
      </w:r>
      <w:r w:rsidRPr="00C55828">
        <w:rPr>
          <w:vertAlign w:val="subscript"/>
        </w:rPr>
        <w:t>0</w:t>
      </w:r>
      <w:r>
        <w:t xml:space="preserve"> = b</w:t>
      </w:r>
      <w:r w:rsidRPr="0016583F">
        <w:rPr>
          <w:vertAlign w:val="subscript"/>
        </w:rPr>
        <w:t>-6</w:t>
      </w:r>
      <w:r>
        <w:rPr>
          <w:vertAlign w:val="subscript"/>
        </w:rPr>
        <w:t xml:space="preserve"> </w:t>
      </w:r>
      <w:r>
        <w:t>+E</w:t>
      </w:r>
      <w:r w:rsidRPr="0016583F">
        <w:rPr>
          <w:vertAlign w:val="subscript"/>
        </w:rPr>
        <w:t>0</w:t>
      </w:r>
      <w:r>
        <w:t xml:space="preserve"> + F</w:t>
      </w:r>
      <w:r w:rsidRPr="0016583F">
        <w:rPr>
          <w:vertAlign w:val="subscript"/>
        </w:rPr>
        <w:t>0</w:t>
      </w:r>
    </w:p>
    <w:p w:rsidR="00677003" w:rsidRDefault="00677003" w:rsidP="00677003">
      <w:pPr>
        <w:pStyle w:val="BodyText"/>
        <w:numPr>
          <w:ilvl w:val="0"/>
          <w:numId w:val="41"/>
        </w:numPr>
      </w:pPr>
      <w:r w:rsidRPr="00E25A11">
        <w:t xml:space="preserve">Sum of dividends </w:t>
      </w:r>
      <w:r>
        <w:t>and earnings foregone: D</w:t>
      </w:r>
      <w:r w:rsidRPr="0016583F">
        <w:rPr>
          <w:vertAlign w:val="subscript"/>
        </w:rPr>
        <w:t>0</w:t>
      </w:r>
      <w:r>
        <w:t xml:space="preserve"> + F</w:t>
      </w:r>
      <w:r w:rsidRPr="0016583F">
        <w:rPr>
          <w:vertAlign w:val="subscript"/>
        </w:rPr>
        <w:t>0</w:t>
      </w:r>
    </w:p>
    <w:p w:rsidR="00677003" w:rsidRDefault="00677003" w:rsidP="00677003">
      <w:pPr>
        <w:pStyle w:val="BodyText"/>
        <w:numPr>
          <w:ilvl w:val="0"/>
          <w:numId w:val="41"/>
        </w:numPr>
      </w:pPr>
      <w:r>
        <w:t>Alternate computation: h</w:t>
      </w:r>
      <w:r w:rsidRPr="00D011AC">
        <w:rPr>
          <w:vertAlign w:val="subscript"/>
        </w:rPr>
        <w:t>0</w:t>
      </w:r>
      <w:r>
        <w:t xml:space="preserve"> = b</w:t>
      </w:r>
      <w:r>
        <w:rPr>
          <w:vertAlign w:val="subscript"/>
        </w:rPr>
        <w:t xml:space="preserve">0 </w:t>
      </w:r>
      <w:r>
        <w:t>+ D</w:t>
      </w:r>
      <w:r w:rsidRPr="0016583F">
        <w:rPr>
          <w:vertAlign w:val="subscript"/>
        </w:rPr>
        <w:t>0</w:t>
      </w:r>
      <w:r>
        <w:t xml:space="preserve"> + F</w:t>
      </w:r>
      <w:r w:rsidRPr="0016583F">
        <w:rPr>
          <w:vertAlign w:val="subscript"/>
        </w:rPr>
        <w:t>0</w:t>
      </w:r>
    </w:p>
    <w:p w:rsidR="00677003" w:rsidRPr="00405CB8" w:rsidRDefault="00677003" w:rsidP="00677003">
      <w:pPr>
        <w:pStyle w:val="BodyText"/>
        <w:numPr>
          <w:ilvl w:val="0"/>
          <w:numId w:val="41"/>
        </w:numPr>
      </w:pPr>
      <w:r>
        <w:t>Annualized return over six years r = (H</w:t>
      </w:r>
      <w:r w:rsidRPr="00C55828">
        <w:rPr>
          <w:vertAlign w:val="subscript"/>
        </w:rPr>
        <w:t>0</w:t>
      </w:r>
      <w:r>
        <w:t>/b</w:t>
      </w:r>
      <w:r w:rsidRPr="00C55828">
        <w:rPr>
          <w:vertAlign w:val="subscript"/>
        </w:rPr>
        <w:t>-6</w:t>
      </w:r>
      <w:r>
        <w:t>)</w:t>
      </w:r>
      <w:r w:rsidRPr="00C55828">
        <w:rPr>
          <w:vertAlign w:val="superscript"/>
        </w:rPr>
        <w:t>1/6</w:t>
      </w:r>
      <w:r>
        <w:t xml:space="preserve"> </w:t>
      </w:r>
      <w:r w:rsidRPr="00FE3C8E">
        <w:t>-</w:t>
      </w:r>
      <w:r>
        <w:t xml:space="preserve"> 1</w:t>
      </w:r>
      <w:r w:rsidRPr="0016583F">
        <w:t xml:space="preserve"> </w:t>
      </w:r>
    </w:p>
    <w:p w:rsidR="00681D45" w:rsidRDefault="00681D45" w:rsidP="00681D45">
      <w:pPr>
        <w:pStyle w:val="Heading1"/>
      </w:pPr>
      <w:r>
        <w:t>Questions addressed by the spreadsheet: Summary</w:t>
      </w:r>
    </w:p>
    <w:p w:rsidR="00681D45" w:rsidRDefault="00681D45" w:rsidP="00681D45">
      <w:pPr>
        <w:pStyle w:val="BodyText"/>
        <w:numPr>
          <w:ilvl w:val="0"/>
          <w:numId w:val="44"/>
        </w:numPr>
      </w:pPr>
      <w:r>
        <w:t>Has the company’s return on equity generally exceeded its cost of equity?</w:t>
      </w:r>
    </w:p>
    <w:p w:rsidR="00681D45" w:rsidRDefault="00681D45" w:rsidP="00681D45">
      <w:pPr>
        <w:pStyle w:val="BodyText"/>
        <w:numPr>
          <w:ilvl w:val="0"/>
          <w:numId w:val="44"/>
        </w:numPr>
      </w:pPr>
      <w:r>
        <w:t>Have there been any changes in the performance in the more recent past? In other words, is the trend positive, neutral, or negative?</w:t>
      </w:r>
    </w:p>
    <w:p w:rsidR="00681D45" w:rsidRDefault="00681D45" w:rsidP="00681D45">
      <w:pPr>
        <w:pStyle w:val="BodyText"/>
        <w:numPr>
          <w:ilvl w:val="0"/>
          <w:numId w:val="44"/>
        </w:numPr>
      </w:pPr>
      <w:r>
        <w:t>How does the past ROE compare to those projected by analysts for the next two years? Are the analysts too optimistic?</w:t>
      </w:r>
    </w:p>
    <w:p w:rsidR="00681D45" w:rsidRDefault="00681D45" w:rsidP="00681D45">
      <w:pPr>
        <w:pStyle w:val="BodyText"/>
        <w:numPr>
          <w:ilvl w:val="0"/>
          <w:numId w:val="44"/>
        </w:numPr>
      </w:pPr>
      <w:r>
        <w:t>Does the past performance suggest the stock is currently cheap or expensive?</w:t>
      </w:r>
    </w:p>
    <w:sectPr w:rsidR="00681D45" w:rsidSect="00465A10">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6E1" w:rsidRDefault="007226E1">
      <w:r>
        <w:separator/>
      </w:r>
    </w:p>
  </w:endnote>
  <w:endnote w:type="continuationSeparator" w:id="0">
    <w:p w:rsidR="007226E1" w:rsidRDefault="0072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41" w:rsidRDefault="00E56341" w:rsidP="00FD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340">
      <w:rPr>
        <w:rStyle w:val="PageNumber"/>
        <w:noProof/>
      </w:rPr>
      <w:t>1</w:t>
    </w:r>
    <w:r>
      <w:rPr>
        <w:rStyle w:val="PageNumber"/>
      </w:rPr>
      <w:fldChar w:fldCharType="end"/>
    </w:r>
  </w:p>
  <w:p w:rsidR="00E56341" w:rsidRDefault="00E56341" w:rsidP="00FD3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41" w:rsidRPr="008E7C06" w:rsidRDefault="00E56341" w:rsidP="00E91606">
    <w:pPr>
      <w:pStyle w:val="Footer"/>
      <w:tabs>
        <w:tab w:val="clear" w:pos="4320"/>
      </w:tabs>
    </w:pPr>
    <w:r>
      <w:fldChar w:fldCharType="begin"/>
    </w:r>
    <w:r>
      <w:instrText xml:space="preserve"> DATE \@ "MMMM d, yyyy" </w:instrText>
    </w:r>
    <w:r>
      <w:fldChar w:fldCharType="separate"/>
    </w:r>
    <w:r w:rsidR="00155F7E">
      <w:rPr>
        <w:noProof/>
      </w:rPr>
      <w:t>September 3, 2016</w:t>
    </w:r>
    <w:r>
      <w:fldChar w:fldCharType="end"/>
    </w:r>
    <w:r>
      <w:t xml:space="preserve"> Visit </w:t>
    </w:r>
    <w:hyperlink r:id="rId1" w:history="1">
      <w:r w:rsidRPr="00744C6D">
        <w:rPr>
          <w:rStyle w:val="Hyperlink"/>
        </w:rPr>
        <w:t>http://www.godeohlson.com/</w:t>
      </w:r>
    </w:hyperlink>
    <w:r>
      <w:t xml:space="preserve"> for updates. </w:t>
    </w:r>
    <w:r>
      <w:tab/>
    </w:r>
    <w:r>
      <w:fldChar w:fldCharType="begin"/>
    </w:r>
    <w:r>
      <w:instrText xml:space="preserve"> PAGE </w:instrText>
    </w:r>
    <w:r>
      <w:fldChar w:fldCharType="separate"/>
    </w:r>
    <w:r w:rsidR="00155F7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6E1" w:rsidRDefault="007226E1">
      <w:r>
        <w:separator/>
      </w:r>
    </w:p>
  </w:footnote>
  <w:footnote w:type="continuationSeparator" w:id="0">
    <w:p w:rsidR="007226E1" w:rsidRDefault="00722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41" w:rsidRDefault="000F0180" w:rsidP="00E91606">
    <w:pPr>
      <w:pStyle w:val="Header"/>
      <w:tabs>
        <w:tab w:val="clear" w:pos="4320"/>
      </w:tabs>
    </w:pPr>
    <w:r>
      <w:t>IRR</w:t>
    </w:r>
    <w:r w:rsidR="00E56341">
      <w:t xml:space="preserve"> and </w:t>
    </w:r>
    <w:r w:rsidR="006C53B1">
      <w:t xml:space="preserve">Multiperiod </w:t>
    </w:r>
    <w:r>
      <w:t>ROE</w:t>
    </w:r>
    <w:r w:rsidR="00E56341">
      <w:tab/>
    </w:r>
    <w:r w:rsidR="00E56341">
      <w:rPr>
        <w:rStyle w:val="PageNumber"/>
      </w:rPr>
      <w:fldChar w:fldCharType="begin"/>
    </w:r>
    <w:r w:rsidR="00E56341">
      <w:rPr>
        <w:rStyle w:val="PageNumber"/>
      </w:rPr>
      <w:instrText xml:space="preserve"> PAGE </w:instrText>
    </w:r>
    <w:r w:rsidR="00E56341">
      <w:rPr>
        <w:rStyle w:val="PageNumber"/>
      </w:rPr>
      <w:fldChar w:fldCharType="separate"/>
    </w:r>
    <w:r w:rsidR="00155F7E">
      <w:rPr>
        <w:rStyle w:val="PageNumber"/>
        <w:noProof/>
      </w:rPr>
      <w:t>1</w:t>
    </w:r>
    <w:r w:rsidR="00E56341">
      <w:rPr>
        <w:rStyle w:val="PageNumber"/>
      </w:rPr>
      <w:fldChar w:fldCharType="end"/>
    </w:r>
    <w:r w:rsidR="00E5634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22C"/>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722565"/>
    <w:multiLevelType w:val="multilevel"/>
    <w:tmpl w:val="29529492"/>
    <w:numStyleLink w:val="ListBulleted"/>
  </w:abstractNum>
  <w:abstractNum w:abstractNumId="2" w15:restartNumberingAfterBreak="0">
    <w:nsid w:val="058D1438"/>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AB17F5"/>
    <w:multiLevelType w:val="hybridMultilevel"/>
    <w:tmpl w:val="34B6A370"/>
    <w:lvl w:ilvl="0" w:tplc="FCE0DF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087B7EB8"/>
    <w:multiLevelType w:val="multilevel"/>
    <w:tmpl w:val="29529492"/>
    <w:numStyleLink w:val="ListBulleted"/>
  </w:abstractNum>
  <w:abstractNum w:abstractNumId="6" w15:restartNumberingAfterBreak="0">
    <w:nsid w:val="0EFE59C8"/>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763623D"/>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9" w15:restartNumberingAfterBreak="0">
    <w:nsid w:val="205178B7"/>
    <w:multiLevelType w:val="multilevel"/>
    <w:tmpl w:val="29529492"/>
    <w:numStyleLink w:val="ListBulleted"/>
  </w:abstractNum>
  <w:abstractNum w:abstractNumId="10"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B1D24"/>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3A108DE"/>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5310CDD"/>
    <w:multiLevelType w:val="multilevel"/>
    <w:tmpl w:val="E30E3590"/>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6" w15:restartNumberingAfterBreak="0">
    <w:nsid w:val="30FB4755"/>
    <w:multiLevelType w:val="multilevel"/>
    <w:tmpl w:val="E30E3590"/>
    <w:numStyleLink w:val="ListOutlineNumbered"/>
  </w:abstractNum>
  <w:abstractNum w:abstractNumId="17" w15:restartNumberingAfterBreak="0">
    <w:nsid w:val="33405529"/>
    <w:multiLevelType w:val="multilevel"/>
    <w:tmpl w:val="50EE0E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3481BAC"/>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4C52B69"/>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A8D70B6"/>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078F0"/>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25" w15:restartNumberingAfterBreak="0">
    <w:nsid w:val="47705053"/>
    <w:multiLevelType w:val="multilevel"/>
    <w:tmpl w:val="0BDE7F6A"/>
    <w:numStyleLink w:val="StyleOutlinenumbered"/>
  </w:abstractNum>
  <w:abstractNum w:abstractNumId="26" w15:restartNumberingAfterBreak="0">
    <w:nsid w:val="4E7F1686"/>
    <w:multiLevelType w:val="multilevel"/>
    <w:tmpl w:val="E30E3590"/>
    <w:numStyleLink w:val="ListOutlineNumbered"/>
  </w:abstractNum>
  <w:abstractNum w:abstractNumId="27" w15:restartNumberingAfterBreak="0">
    <w:nsid w:val="505D4D09"/>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3D7305"/>
    <w:multiLevelType w:val="multilevel"/>
    <w:tmpl w:val="0BDE7F6A"/>
    <w:numStyleLink w:val="StyleOutlinenumbered"/>
  </w:abstractNum>
  <w:abstractNum w:abstractNumId="30" w15:restartNumberingAfterBreak="0">
    <w:nsid w:val="598A3D4F"/>
    <w:multiLevelType w:val="multilevel"/>
    <w:tmpl w:val="0BDE7F6A"/>
    <w:numStyleLink w:val="StyleOutlinenumbered"/>
  </w:abstractNum>
  <w:abstractNum w:abstractNumId="31" w15:restartNumberingAfterBreak="0">
    <w:nsid w:val="5E7D19B3"/>
    <w:multiLevelType w:val="multilevel"/>
    <w:tmpl w:val="E30E3590"/>
    <w:numStyleLink w:val="ListOutlineNumbered"/>
  </w:abstractNum>
  <w:abstractNum w:abstractNumId="32"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3" w15:restartNumberingAfterBreak="0">
    <w:nsid w:val="64001D20"/>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434688D"/>
    <w:multiLevelType w:val="hybridMultilevel"/>
    <w:tmpl w:val="D0CEE7FA"/>
    <w:lvl w:ilvl="0" w:tplc="372C197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38"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48566ED"/>
    <w:multiLevelType w:val="hybridMultilevel"/>
    <w:tmpl w:val="8C2A8880"/>
    <w:lvl w:ilvl="0" w:tplc="3B3A85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2539B6"/>
    <w:multiLevelType w:val="hybridMultilevel"/>
    <w:tmpl w:val="C4A0BA78"/>
    <w:lvl w:ilvl="0" w:tplc="029E9E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A35D45"/>
    <w:multiLevelType w:val="multilevel"/>
    <w:tmpl w:val="0BDE7F6A"/>
    <w:numStyleLink w:val="StyleOutlinenumbered"/>
  </w:abstractNum>
  <w:abstractNum w:abstractNumId="43"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8"/>
  </w:num>
  <w:num w:numId="2">
    <w:abstractNumId w:val="36"/>
  </w:num>
  <w:num w:numId="3">
    <w:abstractNumId w:val="37"/>
  </w:num>
  <w:num w:numId="4">
    <w:abstractNumId w:val="24"/>
  </w:num>
  <w:num w:numId="5">
    <w:abstractNumId w:val="21"/>
  </w:num>
  <w:num w:numId="6">
    <w:abstractNumId w:val="20"/>
  </w:num>
  <w:num w:numId="7">
    <w:abstractNumId w:val="40"/>
  </w:num>
  <w:num w:numId="8">
    <w:abstractNumId w:val="41"/>
  </w:num>
  <w:num w:numId="9">
    <w:abstractNumId w:val="34"/>
  </w:num>
  <w:num w:numId="10">
    <w:abstractNumId w:val="3"/>
  </w:num>
  <w:num w:numId="11">
    <w:abstractNumId w:val="9"/>
  </w:num>
  <w:num w:numId="12">
    <w:abstractNumId w:val="31"/>
  </w:num>
  <w:num w:numId="13">
    <w:abstractNumId w:val="4"/>
  </w:num>
  <w:num w:numId="14">
    <w:abstractNumId w:val="8"/>
  </w:num>
  <w:num w:numId="15">
    <w:abstractNumId w:val="14"/>
  </w:num>
  <w:num w:numId="16">
    <w:abstractNumId w:val="23"/>
  </w:num>
  <w:num w:numId="17">
    <w:abstractNumId w:val="10"/>
  </w:num>
  <w:num w:numId="18">
    <w:abstractNumId w:val="22"/>
  </w:num>
  <w:num w:numId="19">
    <w:abstractNumId w:val="32"/>
  </w:num>
  <w:num w:numId="20">
    <w:abstractNumId w:val="19"/>
  </w:num>
  <w:num w:numId="21">
    <w:abstractNumId w:val="15"/>
  </w:num>
  <w:num w:numId="22">
    <w:abstractNumId w:val="18"/>
  </w:num>
  <w:num w:numId="23">
    <w:abstractNumId w:val="6"/>
  </w:num>
  <w:num w:numId="24">
    <w:abstractNumId w:val="11"/>
  </w:num>
  <w:num w:numId="25">
    <w:abstractNumId w:val="43"/>
  </w:num>
  <w:num w:numId="26">
    <w:abstractNumId w:val="28"/>
  </w:num>
  <w:num w:numId="27">
    <w:abstractNumId w:val="33"/>
  </w:num>
  <w:num w:numId="28">
    <w:abstractNumId w:val="12"/>
  </w:num>
  <w:num w:numId="29">
    <w:abstractNumId w:val="27"/>
  </w:num>
  <w:num w:numId="30">
    <w:abstractNumId w:val="2"/>
  </w:num>
  <w:num w:numId="31">
    <w:abstractNumId w:val="7"/>
  </w:num>
  <w:num w:numId="32">
    <w:abstractNumId w:val="0"/>
  </w:num>
  <w:num w:numId="33">
    <w:abstractNumId w:val="1"/>
  </w:num>
  <w:num w:numId="34">
    <w:abstractNumId w:val="35"/>
  </w:num>
  <w:num w:numId="35">
    <w:abstractNumId w:val="39"/>
  </w:num>
  <w:num w:numId="36">
    <w:abstractNumId w:val="25"/>
  </w:num>
  <w:num w:numId="37">
    <w:abstractNumId w:val="42"/>
  </w:num>
  <w:num w:numId="38">
    <w:abstractNumId w:val="29"/>
  </w:num>
  <w:num w:numId="39">
    <w:abstractNumId w:val="30"/>
  </w:num>
  <w:num w:numId="40">
    <w:abstractNumId w:val="17"/>
  </w:num>
  <w:num w:numId="41">
    <w:abstractNumId w:val="26"/>
  </w:num>
  <w:num w:numId="42">
    <w:abstractNumId w:val="5"/>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E6"/>
    <w:rsid w:val="00013824"/>
    <w:rsid w:val="00021863"/>
    <w:rsid w:val="0002373A"/>
    <w:rsid w:val="00023EB8"/>
    <w:rsid w:val="00026EB6"/>
    <w:rsid w:val="00030FDA"/>
    <w:rsid w:val="000431AC"/>
    <w:rsid w:val="00053A6E"/>
    <w:rsid w:val="00060108"/>
    <w:rsid w:val="000631F5"/>
    <w:rsid w:val="00071BBE"/>
    <w:rsid w:val="00077BD3"/>
    <w:rsid w:val="00081E5E"/>
    <w:rsid w:val="00083837"/>
    <w:rsid w:val="00083F7B"/>
    <w:rsid w:val="00084D95"/>
    <w:rsid w:val="00093612"/>
    <w:rsid w:val="000940B5"/>
    <w:rsid w:val="000967A5"/>
    <w:rsid w:val="000A17AA"/>
    <w:rsid w:val="000A3F1B"/>
    <w:rsid w:val="000C0D5E"/>
    <w:rsid w:val="000C1F1C"/>
    <w:rsid w:val="000C54DC"/>
    <w:rsid w:val="000C6736"/>
    <w:rsid w:val="000D6966"/>
    <w:rsid w:val="000E2ED2"/>
    <w:rsid w:val="000E453A"/>
    <w:rsid w:val="000E49D6"/>
    <w:rsid w:val="000E5450"/>
    <w:rsid w:val="000F0180"/>
    <w:rsid w:val="000F6BD4"/>
    <w:rsid w:val="000F7B6F"/>
    <w:rsid w:val="001018F7"/>
    <w:rsid w:val="0011198F"/>
    <w:rsid w:val="00120128"/>
    <w:rsid w:val="00133AF6"/>
    <w:rsid w:val="00144FF5"/>
    <w:rsid w:val="00155F7E"/>
    <w:rsid w:val="00162F8B"/>
    <w:rsid w:val="00163078"/>
    <w:rsid w:val="0016583F"/>
    <w:rsid w:val="00166144"/>
    <w:rsid w:val="001663DA"/>
    <w:rsid w:val="001734DA"/>
    <w:rsid w:val="0018070F"/>
    <w:rsid w:val="001935DE"/>
    <w:rsid w:val="00195DAD"/>
    <w:rsid w:val="001A0F60"/>
    <w:rsid w:val="001A65E6"/>
    <w:rsid w:val="001C0366"/>
    <w:rsid w:val="001C1CEB"/>
    <w:rsid w:val="001C356E"/>
    <w:rsid w:val="001D077F"/>
    <w:rsid w:val="001D0924"/>
    <w:rsid w:val="001E380D"/>
    <w:rsid w:val="001F0376"/>
    <w:rsid w:val="00200A87"/>
    <w:rsid w:val="00202570"/>
    <w:rsid w:val="00202972"/>
    <w:rsid w:val="00202E88"/>
    <w:rsid w:val="00211E59"/>
    <w:rsid w:val="00212B71"/>
    <w:rsid w:val="00213331"/>
    <w:rsid w:val="00221727"/>
    <w:rsid w:val="002259C0"/>
    <w:rsid w:val="002305B4"/>
    <w:rsid w:val="002319B3"/>
    <w:rsid w:val="00235337"/>
    <w:rsid w:val="00240A3D"/>
    <w:rsid w:val="00247FCB"/>
    <w:rsid w:val="00256F84"/>
    <w:rsid w:val="0027195E"/>
    <w:rsid w:val="00286857"/>
    <w:rsid w:val="002B3A02"/>
    <w:rsid w:val="002B5A10"/>
    <w:rsid w:val="002C1F41"/>
    <w:rsid w:val="002E06CB"/>
    <w:rsid w:val="002E16F8"/>
    <w:rsid w:val="002F0745"/>
    <w:rsid w:val="002F383A"/>
    <w:rsid w:val="002F5F1D"/>
    <w:rsid w:val="00302951"/>
    <w:rsid w:val="0030357A"/>
    <w:rsid w:val="00305583"/>
    <w:rsid w:val="003066B9"/>
    <w:rsid w:val="00324E29"/>
    <w:rsid w:val="0032547D"/>
    <w:rsid w:val="00330A1E"/>
    <w:rsid w:val="003310A7"/>
    <w:rsid w:val="00344B84"/>
    <w:rsid w:val="003546B5"/>
    <w:rsid w:val="003554C1"/>
    <w:rsid w:val="00360980"/>
    <w:rsid w:val="00381E96"/>
    <w:rsid w:val="00384F40"/>
    <w:rsid w:val="003879EE"/>
    <w:rsid w:val="003B0DC8"/>
    <w:rsid w:val="003B2E42"/>
    <w:rsid w:val="003C0527"/>
    <w:rsid w:val="003C2AA2"/>
    <w:rsid w:val="003C3108"/>
    <w:rsid w:val="003C35F0"/>
    <w:rsid w:val="003C5ACA"/>
    <w:rsid w:val="003E216A"/>
    <w:rsid w:val="003E77D9"/>
    <w:rsid w:val="003F2700"/>
    <w:rsid w:val="003F60BC"/>
    <w:rsid w:val="004003DD"/>
    <w:rsid w:val="0040176A"/>
    <w:rsid w:val="00405CB8"/>
    <w:rsid w:val="00410A5C"/>
    <w:rsid w:val="004206DC"/>
    <w:rsid w:val="00421AFF"/>
    <w:rsid w:val="004278CC"/>
    <w:rsid w:val="004311A8"/>
    <w:rsid w:val="00434BDF"/>
    <w:rsid w:val="0043516C"/>
    <w:rsid w:val="004357D3"/>
    <w:rsid w:val="00435B43"/>
    <w:rsid w:val="0044622A"/>
    <w:rsid w:val="00454A1E"/>
    <w:rsid w:val="00455755"/>
    <w:rsid w:val="00465A10"/>
    <w:rsid w:val="00466400"/>
    <w:rsid w:val="00475B6A"/>
    <w:rsid w:val="004A1F58"/>
    <w:rsid w:val="004A3E05"/>
    <w:rsid w:val="004B07D1"/>
    <w:rsid w:val="004B3984"/>
    <w:rsid w:val="004B4054"/>
    <w:rsid w:val="004C42EF"/>
    <w:rsid w:val="004D50B4"/>
    <w:rsid w:val="004E55EE"/>
    <w:rsid w:val="004F6E98"/>
    <w:rsid w:val="0050155A"/>
    <w:rsid w:val="00502F82"/>
    <w:rsid w:val="00507AE6"/>
    <w:rsid w:val="00542864"/>
    <w:rsid w:val="005460BC"/>
    <w:rsid w:val="00550272"/>
    <w:rsid w:val="00553B3F"/>
    <w:rsid w:val="00560215"/>
    <w:rsid w:val="00571451"/>
    <w:rsid w:val="00572341"/>
    <w:rsid w:val="00572549"/>
    <w:rsid w:val="00572DC8"/>
    <w:rsid w:val="005730C5"/>
    <w:rsid w:val="00576D56"/>
    <w:rsid w:val="00582352"/>
    <w:rsid w:val="00585039"/>
    <w:rsid w:val="00591448"/>
    <w:rsid w:val="005954ED"/>
    <w:rsid w:val="005A17BC"/>
    <w:rsid w:val="005A47FC"/>
    <w:rsid w:val="005A6633"/>
    <w:rsid w:val="005C0124"/>
    <w:rsid w:val="005C4B32"/>
    <w:rsid w:val="005C7B43"/>
    <w:rsid w:val="005D2FD0"/>
    <w:rsid w:val="005F492B"/>
    <w:rsid w:val="00623C9E"/>
    <w:rsid w:val="00643F58"/>
    <w:rsid w:val="00651FD3"/>
    <w:rsid w:val="00664B60"/>
    <w:rsid w:val="00672B4C"/>
    <w:rsid w:val="00672FF8"/>
    <w:rsid w:val="00677003"/>
    <w:rsid w:val="00680532"/>
    <w:rsid w:val="00680680"/>
    <w:rsid w:val="00681B68"/>
    <w:rsid w:val="00681D45"/>
    <w:rsid w:val="00687C46"/>
    <w:rsid w:val="006959F4"/>
    <w:rsid w:val="006A0C9F"/>
    <w:rsid w:val="006A11C9"/>
    <w:rsid w:val="006A1E1D"/>
    <w:rsid w:val="006A392D"/>
    <w:rsid w:val="006B077B"/>
    <w:rsid w:val="006C04AE"/>
    <w:rsid w:val="006C53B1"/>
    <w:rsid w:val="006E288B"/>
    <w:rsid w:val="006E6989"/>
    <w:rsid w:val="006F2171"/>
    <w:rsid w:val="006F72E3"/>
    <w:rsid w:val="00701598"/>
    <w:rsid w:val="00711F7A"/>
    <w:rsid w:val="00713D23"/>
    <w:rsid w:val="00720684"/>
    <w:rsid w:val="007226E1"/>
    <w:rsid w:val="00731D25"/>
    <w:rsid w:val="00732EE2"/>
    <w:rsid w:val="00733EE8"/>
    <w:rsid w:val="00735926"/>
    <w:rsid w:val="00756B2A"/>
    <w:rsid w:val="00761E7F"/>
    <w:rsid w:val="00766BF9"/>
    <w:rsid w:val="00774ACD"/>
    <w:rsid w:val="00780C89"/>
    <w:rsid w:val="00784F15"/>
    <w:rsid w:val="00785D61"/>
    <w:rsid w:val="007861D8"/>
    <w:rsid w:val="00792754"/>
    <w:rsid w:val="00796505"/>
    <w:rsid w:val="007967FB"/>
    <w:rsid w:val="007B10D2"/>
    <w:rsid w:val="007B2954"/>
    <w:rsid w:val="007B342A"/>
    <w:rsid w:val="007C44C1"/>
    <w:rsid w:val="007D3828"/>
    <w:rsid w:val="007D6BB3"/>
    <w:rsid w:val="007E45EC"/>
    <w:rsid w:val="007F134E"/>
    <w:rsid w:val="0080374A"/>
    <w:rsid w:val="00807C5B"/>
    <w:rsid w:val="0081577E"/>
    <w:rsid w:val="00820035"/>
    <w:rsid w:val="00830F85"/>
    <w:rsid w:val="0085607B"/>
    <w:rsid w:val="0085761B"/>
    <w:rsid w:val="0087217E"/>
    <w:rsid w:val="00883531"/>
    <w:rsid w:val="008B7814"/>
    <w:rsid w:val="008C75E2"/>
    <w:rsid w:val="008C7D67"/>
    <w:rsid w:val="008D1A77"/>
    <w:rsid w:val="008D1C0C"/>
    <w:rsid w:val="008D718C"/>
    <w:rsid w:val="008E3D00"/>
    <w:rsid w:val="008E7C06"/>
    <w:rsid w:val="008F0340"/>
    <w:rsid w:val="008F34BE"/>
    <w:rsid w:val="008F5A4D"/>
    <w:rsid w:val="00916C6C"/>
    <w:rsid w:val="00917210"/>
    <w:rsid w:val="0092293B"/>
    <w:rsid w:val="00925B3C"/>
    <w:rsid w:val="00931B73"/>
    <w:rsid w:val="00935080"/>
    <w:rsid w:val="009352F4"/>
    <w:rsid w:val="00937C5E"/>
    <w:rsid w:val="00940C9F"/>
    <w:rsid w:val="00941170"/>
    <w:rsid w:val="009411F6"/>
    <w:rsid w:val="00942B06"/>
    <w:rsid w:val="00943EE7"/>
    <w:rsid w:val="009766EB"/>
    <w:rsid w:val="009A4443"/>
    <w:rsid w:val="009A6E75"/>
    <w:rsid w:val="009B193F"/>
    <w:rsid w:val="009C7AEB"/>
    <w:rsid w:val="009E107E"/>
    <w:rsid w:val="009E43BE"/>
    <w:rsid w:val="009E5088"/>
    <w:rsid w:val="009E58AA"/>
    <w:rsid w:val="009F63C8"/>
    <w:rsid w:val="00A14973"/>
    <w:rsid w:val="00A20E71"/>
    <w:rsid w:val="00A2460C"/>
    <w:rsid w:val="00A42B7B"/>
    <w:rsid w:val="00A4782F"/>
    <w:rsid w:val="00A761CC"/>
    <w:rsid w:val="00A92A18"/>
    <w:rsid w:val="00A93088"/>
    <w:rsid w:val="00AA0F2E"/>
    <w:rsid w:val="00AB203D"/>
    <w:rsid w:val="00AB74F5"/>
    <w:rsid w:val="00AC1E67"/>
    <w:rsid w:val="00AC456D"/>
    <w:rsid w:val="00AD6A66"/>
    <w:rsid w:val="00AE023F"/>
    <w:rsid w:val="00AE4A19"/>
    <w:rsid w:val="00AF60C4"/>
    <w:rsid w:val="00B034CB"/>
    <w:rsid w:val="00B04C3E"/>
    <w:rsid w:val="00B27EFF"/>
    <w:rsid w:val="00B3324F"/>
    <w:rsid w:val="00B33FAB"/>
    <w:rsid w:val="00B340DF"/>
    <w:rsid w:val="00B402F0"/>
    <w:rsid w:val="00B5365C"/>
    <w:rsid w:val="00B564F9"/>
    <w:rsid w:val="00B57DD5"/>
    <w:rsid w:val="00B73F8B"/>
    <w:rsid w:val="00BB0BBB"/>
    <w:rsid w:val="00BB12AE"/>
    <w:rsid w:val="00BB7630"/>
    <w:rsid w:val="00BD01EA"/>
    <w:rsid w:val="00BD3712"/>
    <w:rsid w:val="00BD3816"/>
    <w:rsid w:val="00BD6983"/>
    <w:rsid w:val="00BE063D"/>
    <w:rsid w:val="00BE2E61"/>
    <w:rsid w:val="00BE352C"/>
    <w:rsid w:val="00BE3FC7"/>
    <w:rsid w:val="00BF5F7F"/>
    <w:rsid w:val="00C27C27"/>
    <w:rsid w:val="00C27CCA"/>
    <w:rsid w:val="00C30F2C"/>
    <w:rsid w:val="00C3118B"/>
    <w:rsid w:val="00C34FA5"/>
    <w:rsid w:val="00C36667"/>
    <w:rsid w:val="00C43805"/>
    <w:rsid w:val="00C51D04"/>
    <w:rsid w:val="00C55828"/>
    <w:rsid w:val="00C65310"/>
    <w:rsid w:val="00C71778"/>
    <w:rsid w:val="00C864BC"/>
    <w:rsid w:val="00C90CAC"/>
    <w:rsid w:val="00CA56F1"/>
    <w:rsid w:val="00CA695B"/>
    <w:rsid w:val="00CB229B"/>
    <w:rsid w:val="00CB71DC"/>
    <w:rsid w:val="00CD120B"/>
    <w:rsid w:val="00CD65DE"/>
    <w:rsid w:val="00CE2B27"/>
    <w:rsid w:val="00CE61E4"/>
    <w:rsid w:val="00CF34A6"/>
    <w:rsid w:val="00D011AC"/>
    <w:rsid w:val="00D01C2C"/>
    <w:rsid w:val="00D01CB4"/>
    <w:rsid w:val="00D03376"/>
    <w:rsid w:val="00D061B9"/>
    <w:rsid w:val="00D11303"/>
    <w:rsid w:val="00D1407D"/>
    <w:rsid w:val="00D665CE"/>
    <w:rsid w:val="00D77EEF"/>
    <w:rsid w:val="00D80FB2"/>
    <w:rsid w:val="00D87CD2"/>
    <w:rsid w:val="00D91B5C"/>
    <w:rsid w:val="00D933B5"/>
    <w:rsid w:val="00DA08D3"/>
    <w:rsid w:val="00DA4E34"/>
    <w:rsid w:val="00DB3E06"/>
    <w:rsid w:val="00DE3033"/>
    <w:rsid w:val="00DE4A41"/>
    <w:rsid w:val="00DF53FD"/>
    <w:rsid w:val="00DF76B2"/>
    <w:rsid w:val="00E0173A"/>
    <w:rsid w:val="00E248E3"/>
    <w:rsid w:val="00E25A11"/>
    <w:rsid w:val="00E33C3E"/>
    <w:rsid w:val="00E3541C"/>
    <w:rsid w:val="00E42E29"/>
    <w:rsid w:val="00E42FBA"/>
    <w:rsid w:val="00E46AE6"/>
    <w:rsid w:val="00E54EDD"/>
    <w:rsid w:val="00E5625F"/>
    <w:rsid w:val="00E56341"/>
    <w:rsid w:val="00E57B2F"/>
    <w:rsid w:val="00E75036"/>
    <w:rsid w:val="00E84AAF"/>
    <w:rsid w:val="00E91606"/>
    <w:rsid w:val="00ED153A"/>
    <w:rsid w:val="00EE03EB"/>
    <w:rsid w:val="00EE2916"/>
    <w:rsid w:val="00EF3F90"/>
    <w:rsid w:val="00F0182C"/>
    <w:rsid w:val="00F05492"/>
    <w:rsid w:val="00F10422"/>
    <w:rsid w:val="00F1403C"/>
    <w:rsid w:val="00F17620"/>
    <w:rsid w:val="00F400CA"/>
    <w:rsid w:val="00F630E4"/>
    <w:rsid w:val="00F726EE"/>
    <w:rsid w:val="00F741AC"/>
    <w:rsid w:val="00F7603E"/>
    <w:rsid w:val="00F76395"/>
    <w:rsid w:val="00F801C6"/>
    <w:rsid w:val="00F815D5"/>
    <w:rsid w:val="00FB6CB9"/>
    <w:rsid w:val="00FB6CC7"/>
    <w:rsid w:val="00FC012D"/>
    <w:rsid w:val="00FD361A"/>
    <w:rsid w:val="00FD55D9"/>
    <w:rsid w:val="00FD7913"/>
    <w:rsid w:val="00FE0A50"/>
    <w:rsid w:val="00FE3C8E"/>
    <w:rsid w:val="00FE64FC"/>
    <w:rsid w:val="00FF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colormru v:ext="edit" colors="#ccecff"/>
    </o:shapedefaults>
    <o:shapelayout v:ext="edit">
      <o:idmap v:ext="edit" data="1"/>
    </o:shapelayout>
  </w:shapeDefaults>
  <w:decimalSymbol w:val="."/>
  <w:listSeparator w:val=","/>
  <w15:docId w15:val="{22219650-6616-43DD-A3BF-6F6BB36F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FF"/>
    <w:pPr>
      <w:jc w:val="both"/>
    </w:pPr>
    <w:rPr>
      <w:kern w:val="22"/>
      <w:sz w:val="22"/>
      <w:szCs w:val="24"/>
    </w:rPr>
  </w:style>
  <w:style w:type="paragraph" w:styleId="Heading1">
    <w:name w:val="heading 1"/>
    <w:basedOn w:val="Normal"/>
    <w:next w:val="Normal"/>
    <w:qFormat/>
    <w:rsid w:val="00421AFF"/>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421AFF"/>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421AFF"/>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421AFF"/>
    <w:pPr>
      <w:keepNext/>
      <w:numPr>
        <w:ilvl w:val="3"/>
        <w:numId w:val="1"/>
      </w:numPr>
      <w:spacing w:before="120" w:after="60"/>
      <w:outlineLvl w:val="3"/>
    </w:pPr>
    <w:rPr>
      <w:b/>
      <w:bCs/>
      <w:kern w:val="0"/>
      <w:szCs w:val="28"/>
    </w:rPr>
  </w:style>
  <w:style w:type="paragraph" w:styleId="Heading5">
    <w:name w:val="heading 5"/>
    <w:basedOn w:val="Normal"/>
    <w:next w:val="Normal"/>
    <w:qFormat/>
    <w:rsid w:val="00421AFF"/>
    <w:pPr>
      <w:numPr>
        <w:ilvl w:val="4"/>
        <w:numId w:val="1"/>
      </w:numPr>
      <w:spacing w:before="240" w:after="60"/>
      <w:outlineLvl w:val="4"/>
    </w:pPr>
    <w:rPr>
      <w:b/>
      <w:bCs/>
      <w:i/>
      <w:iCs/>
      <w:sz w:val="26"/>
      <w:szCs w:val="26"/>
    </w:rPr>
  </w:style>
  <w:style w:type="paragraph" w:styleId="Heading6">
    <w:name w:val="heading 6"/>
    <w:basedOn w:val="Normal"/>
    <w:next w:val="Normal"/>
    <w:qFormat/>
    <w:rsid w:val="00421AFF"/>
    <w:pPr>
      <w:numPr>
        <w:ilvl w:val="5"/>
        <w:numId w:val="1"/>
      </w:numPr>
      <w:spacing w:before="240" w:after="60"/>
      <w:outlineLvl w:val="5"/>
    </w:pPr>
    <w:rPr>
      <w:b/>
      <w:bCs/>
      <w:szCs w:val="22"/>
    </w:rPr>
  </w:style>
  <w:style w:type="paragraph" w:styleId="Heading7">
    <w:name w:val="heading 7"/>
    <w:basedOn w:val="Normal"/>
    <w:next w:val="Normal"/>
    <w:qFormat/>
    <w:rsid w:val="00421AFF"/>
    <w:pPr>
      <w:numPr>
        <w:ilvl w:val="6"/>
        <w:numId w:val="1"/>
      </w:numPr>
      <w:spacing w:before="240" w:after="60"/>
      <w:outlineLvl w:val="6"/>
    </w:pPr>
  </w:style>
  <w:style w:type="paragraph" w:styleId="Heading8">
    <w:name w:val="heading 8"/>
    <w:basedOn w:val="Normal"/>
    <w:next w:val="Normal"/>
    <w:qFormat/>
    <w:rsid w:val="00421AFF"/>
    <w:pPr>
      <w:numPr>
        <w:ilvl w:val="7"/>
        <w:numId w:val="1"/>
      </w:numPr>
      <w:spacing w:before="240" w:after="60"/>
      <w:outlineLvl w:val="7"/>
    </w:pPr>
    <w:rPr>
      <w:i/>
      <w:iCs/>
    </w:rPr>
  </w:style>
  <w:style w:type="paragraph" w:styleId="Heading9">
    <w:name w:val="heading 9"/>
    <w:basedOn w:val="Normal"/>
    <w:next w:val="Normal"/>
    <w:qFormat/>
    <w:rsid w:val="00421AFF"/>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421AFF"/>
    <w:pPr>
      <w:spacing w:before="120" w:after="240"/>
      <w:ind w:left="720" w:hanging="720"/>
    </w:pPr>
  </w:style>
  <w:style w:type="paragraph" w:customStyle="1" w:styleId="6pointSpacer">
    <w:name w:val="6pointSpacer"/>
    <w:basedOn w:val="Normal"/>
    <w:rsid w:val="00CE2B27"/>
    <w:rPr>
      <w:sz w:val="12"/>
      <w:szCs w:val="12"/>
    </w:rPr>
  </w:style>
  <w:style w:type="paragraph" w:styleId="BodyText">
    <w:name w:val="Body Text"/>
    <w:basedOn w:val="Normal"/>
    <w:rsid w:val="00421AFF"/>
    <w:pPr>
      <w:spacing w:after="120"/>
    </w:pPr>
  </w:style>
  <w:style w:type="paragraph" w:styleId="Caption">
    <w:name w:val="caption"/>
    <w:basedOn w:val="Normal"/>
    <w:next w:val="Normal"/>
    <w:qFormat/>
    <w:rsid w:val="00421AFF"/>
    <w:pPr>
      <w:keepNext/>
      <w:spacing w:before="120" w:after="120"/>
    </w:pPr>
    <w:rPr>
      <w:b/>
      <w:bCs/>
      <w:szCs w:val="20"/>
    </w:rPr>
  </w:style>
  <w:style w:type="paragraph" w:customStyle="1" w:styleId="CenteredCaption">
    <w:name w:val="CenteredCaption"/>
    <w:basedOn w:val="Caption"/>
    <w:rsid w:val="00421AFF"/>
    <w:pPr>
      <w:jc w:val="center"/>
    </w:pPr>
  </w:style>
  <w:style w:type="character" w:customStyle="1" w:styleId="Emphasize">
    <w:name w:val="Emphasize"/>
    <w:rsid w:val="00421AFF"/>
    <w:rPr>
      <w:b/>
      <w:color w:val="000080"/>
    </w:rPr>
  </w:style>
  <w:style w:type="paragraph" w:styleId="Header">
    <w:name w:val="header"/>
    <w:basedOn w:val="Normal"/>
    <w:rsid w:val="00CE2B27"/>
    <w:pPr>
      <w:tabs>
        <w:tab w:val="center" w:pos="4320"/>
        <w:tab w:val="right" w:pos="9360"/>
      </w:tabs>
    </w:pPr>
    <w:rPr>
      <w:rFonts w:ascii="Arial" w:hAnsi="Arial"/>
      <w:sz w:val="16"/>
    </w:rPr>
  </w:style>
  <w:style w:type="character" w:customStyle="1" w:styleId="Italicize">
    <w:name w:val="Italicize"/>
    <w:rsid w:val="00CE2B27"/>
    <w:rPr>
      <w:i/>
      <w:color w:val="003399"/>
    </w:rPr>
  </w:style>
  <w:style w:type="paragraph" w:customStyle="1" w:styleId="Left1">
    <w:name w:val="Left:1"/>
    <w:basedOn w:val="Normal"/>
    <w:rsid w:val="00CE2B27"/>
    <w:pPr>
      <w:ind w:left="504"/>
    </w:pPr>
  </w:style>
  <w:style w:type="paragraph" w:customStyle="1" w:styleId="Left2">
    <w:name w:val="Left:2"/>
    <w:basedOn w:val="Normal"/>
    <w:rsid w:val="00CE2B27"/>
    <w:pPr>
      <w:ind w:left="1008"/>
    </w:pPr>
  </w:style>
  <w:style w:type="paragraph" w:customStyle="1" w:styleId="Left3">
    <w:name w:val="Left:3"/>
    <w:basedOn w:val="Normal"/>
    <w:rsid w:val="00CE2B27"/>
    <w:pPr>
      <w:ind w:left="1800"/>
    </w:pPr>
  </w:style>
  <w:style w:type="paragraph" w:customStyle="1" w:styleId="Left4">
    <w:name w:val="Left:4"/>
    <w:basedOn w:val="Normal"/>
    <w:rsid w:val="00CE2B27"/>
    <w:pPr>
      <w:ind w:left="2736"/>
    </w:pPr>
  </w:style>
  <w:style w:type="numbering" w:customStyle="1" w:styleId="ListBulleted">
    <w:name w:val="List Bulleted"/>
    <w:basedOn w:val="NoList"/>
    <w:rsid w:val="00421AFF"/>
    <w:pPr>
      <w:numPr>
        <w:numId w:val="2"/>
      </w:numPr>
    </w:pPr>
  </w:style>
  <w:style w:type="numbering" w:customStyle="1" w:styleId="ListBulletedIndented">
    <w:name w:val="List Bulleted Indented"/>
    <w:basedOn w:val="NoList"/>
    <w:rsid w:val="00CE2B27"/>
    <w:pPr>
      <w:numPr>
        <w:numId w:val="3"/>
      </w:numPr>
    </w:pPr>
  </w:style>
  <w:style w:type="numbering" w:customStyle="1" w:styleId="ListMultiple-choiceChar">
    <w:name w:val="List Multiple-choice Char"/>
    <w:basedOn w:val="NoList"/>
    <w:rsid w:val="00CE2B27"/>
    <w:pPr>
      <w:numPr>
        <w:numId w:val="4"/>
      </w:numPr>
    </w:pPr>
  </w:style>
  <w:style w:type="numbering" w:customStyle="1" w:styleId="ListOutlineChar">
    <w:name w:val="List Outline Char"/>
    <w:rsid w:val="00CE2B27"/>
  </w:style>
  <w:style w:type="numbering" w:customStyle="1" w:styleId="ListOutlineNumbered">
    <w:name w:val="List Outline Numbered"/>
    <w:basedOn w:val="NoList"/>
    <w:rsid w:val="00CE2B27"/>
    <w:pPr>
      <w:numPr>
        <w:numId w:val="6"/>
      </w:numPr>
    </w:pPr>
  </w:style>
  <w:style w:type="paragraph" w:styleId="Subtitle">
    <w:name w:val="Subtitle"/>
    <w:basedOn w:val="Normal"/>
    <w:qFormat/>
    <w:rsid w:val="00421AFF"/>
    <w:pPr>
      <w:spacing w:before="120" w:after="120"/>
      <w:jc w:val="center"/>
      <w:outlineLvl w:val="1"/>
    </w:pPr>
    <w:rPr>
      <w:rFonts w:ascii="Arial" w:hAnsi="Arial" w:cs="Arial"/>
      <w:color w:val="000080"/>
    </w:rPr>
  </w:style>
  <w:style w:type="paragraph" w:customStyle="1" w:styleId="TableCentered">
    <w:name w:val="TableCentered"/>
    <w:basedOn w:val="Normal"/>
    <w:rsid w:val="00CE2B27"/>
    <w:pPr>
      <w:jc w:val="center"/>
    </w:pPr>
    <w:rPr>
      <w:szCs w:val="20"/>
    </w:rPr>
  </w:style>
  <w:style w:type="paragraph" w:customStyle="1" w:styleId="TableLeftText">
    <w:name w:val="TableLeftText"/>
    <w:basedOn w:val="Normal"/>
    <w:rsid w:val="00CE2B27"/>
  </w:style>
  <w:style w:type="paragraph" w:customStyle="1" w:styleId="TableRightText">
    <w:name w:val="TableRightText"/>
    <w:basedOn w:val="Normal"/>
    <w:rsid w:val="00CE2B27"/>
    <w:pPr>
      <w:jc w:val="right"/>
    </w:pPr>
  </w:style>
  <w:style w:type="paragraph" w:styleId="Title">
    <w:name w:val="Title"/>
    <w:basedOn w:val="Normal"/>
    <w:qFormat/>
    <w:rsid w:val="00421AFF"/>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CE2B27"/>
    <w:rPr>
      <w:b/>
      <w:i/>
      <w:u w:val="single"/>
      <w:bdr w:val="none" w:sz="0" w:space="0" w:color="auto"/>
      <w:shd w:val="clear" w:color="auto" w:fill="FFFF99"/>
    </w:rPr>
  </w:style>
  <w:style w:type="paragraph" w:customStyle="1" w:styleId="GCaptionBoldCentered">
    <w:name w:val="GCaptionBoldCentered"/>
    <w:basedOn w:val="Normal"/>
    <w:rsid w:val="00202972"/>
    <w:pPr>
      <w:keepNext/>
      <w:jc w:val="center"/>
    </w:pPr>
    <w:rPr>
      <w:b/>
      <w:color w:val="000099"/>
      <w:sz w:val="24"/>
    </w:rPr>
  </w:style>
  <w:style w:type="paragraph" w:styleId="Footer">
    <w:name w:val="footer"/>
    <w:basedOn w:val="Normal"/>
    <w:rsid w:val="00421AFF"/>
    <w:pPr>
      <w:tabs>
        <w:tab w:val="center" w:pos="4320"/>
        <w:tab w:val="right" w:pos="9360"/>
      </w:tabs>
    </w:pPr>
    <w:rPr>
      <w:rFonts w:ascii="Arial" w:hAnsi="Arial"/>
      <w:sz w:val="16"/>
    </w:rPr>
  </w:style>
  <w:style w:type="character" w:styleId="PageNumber">
    <w:name w:val="page number"/>
    <w:basedOn w:val="DefaultParagraphFont"/>
    <w:rsid w:val="00FD361A"/>
  </w:style>
  <w:style w:type="paragraph" w:customStyle="1" w:styleId="CoverText">
    <w:name w:val="CoverText"/>
    <w:basedOn w:val="Normal"/>
    <w:rsid w:val="00421AFF"/>
    <w:pPr>
      <w:jc w:val="center"/>
    </w:pPr>
  </w:style>
  <w:style w:type="paragraph" w:styleId="BodyText3">
    <w:name w:val="Body Text 3"/>
    <w:basedOn w:val="Normal"/>
    <w:rsid w:val="00421AFF"/>
    <w:rPr>
      <w:sz w:val="18"/>
      <w:szCs w:val="16"/>
    </w:rPr>
  </w:style>
  <w:style w:type="paragraph" w:styleId="BodyTextFirstIndent">
    <w:name w:val="Body Text First Indent"/>
    <w:basedOn w:val="BodyText"/>
    <w:rsid w:val="00421AFF"/>
    <w:pPr>
      <w:spacing w:line="480" w:lineRule="auto"/>
      <w:ind w:firstLine="432"/>
    </w:pPr>
  </w:style>
  <w:style w:type="paragraph" w:customStyle="1" w:styleId="CenterTable">
    <w:name w:val="CenterTable"/>
    <w:basedOn w:val="Normal"/>
    <w:rsid w:val="00421AFF"/>
    <w:pPr>
      <w:jc w:val="center"/>
    </w:pPr>
  </w:style>
  <w:style w:type="paragraph" w:styleId="FootnoteText">
    <w:name w:val="footnote text"/>
    <w:basedOn w:val="Normal"/>
    <w:rsid w:val="00421AFF"/>
    <w:rPr>
      <w:sz w:val="20"/>
      <w:szCs w:val="20"/>
    </w:rPr>
  </w:style>
  <w:style w:type="numbering" w:customStyle="1" w:styleId="StyleOutlinenumbered">
    <w:name w:val="Style Outline numbered"/>
    <w:basedOn w:val="NoList"/>
    <w:rsid w:val="00421AFF"/>
    <w:pPr>
      <w:numPr>
        <w:numId w:val="34"/>
      </w:numPr>
    </w:pPr>
  </w:style>
  <w:style w:type="paragraph" w:customStyle="1" w:styleId="StyleLeft14">
    <w:name w:val="Style Left:  1.4&quot;"/>
    <w:basedOn w:val="Normal"/>
    <w:rsid w:val="00421AFF"/>
    <w:pPr>
      <w:ind w:left="2016"/>
    </w:pPr>
    <w:rPr>
      <w:szCs w:val="22"/>
    </w:rPr>
  </w:style>
  <w:style w:type="paragraph" w:customStyle="1" w:styleId="StyleLeft105">
    <w:name w:val="Style Left:  1.05&quot;"/>
    <w:basedOn w:val="Normal"/>
    <w:rsid w:val="00421AFF"/>
    <w:pPr>
      <w:ind w:left="1512"/>
    </w:pPr>
    <w:rPr>
      <w:szCs w:val="20"/>
    </w:rPr>
  </w:style>
  <w:style w:type="paragraph" w:customStyle="1" w:styleId="StyleLeft07">
    <w:name w:val="Style Left:  0.7&quot;"/>
    <w:basedOn w:val="Normal"/>
    <w:rsid w:val="00421AFF"/>
    <w:pPr>
      <w:ind w:left="1008"/>
    </w:pPr>
    <w:rPr>
      <w:szCs w:val="20"/>
    </w:rPr>
  </w:style>
  <w:style w:type="paragraph" w:customStyle="1" w:styleId="StyleLeft035">
    <w:name w:val="Style Left:  0.35&quot;"/>
    <w:basedOn w:val="Normal"/>
    <w:rsid w:val="00421AFF"/>
    <w:pPr>
      <w:ind w:left="504"/>
    </w:pPr>
    <w:rPr>
      <w:szCs w:val="20"/>
    </w:rPr>
  </w:style>
  <w:style w:type="paragraph" w:customStyle="1" w:styleId="Indentedlist">
    <w:name w:val="Indented list"/>
    <w:basedOn w:val="Normal"/>
    <w:rsid w:val="00421AFF"/>
    <w:pPr>
      <w:numPr>
        <w:numId w:val="17"/>
      </w:numPr>
      <w:tabs>
        <w:tab w:val="clear" w:pos="1008"/>
        <w:tab w:val="num" w:pos="360"/>
      </w:tabs>
      <w:ind w:left="0" w:firstLine="0"/>
    </w:pPr>
    <w:rPr>
      <w:szCs w:val="22"/>
    </w:rPr>
  </w:style>
  <w:style w:type="paragraph" w:styleId="List">
    <w:name w:val="List"/>
    <w:basedOn w:val="Normal"/>
    <w:rsid w:val="00421AFF"/>
    <w:pPr>
      <w:numPr>
        <w:numId w:val="18"/>
      </w:numPr>
      <w:tabs>
        <w:tab w:val="clear" w:pos="504"/>
        <w:tab w:val="num" w:pos="360"/>
      </w:tabs>
      <w:ind w:left="0" w:firstLine="0"/>
    </w:pPr>
    <w:rPr>
      <w:szCs w:val="22"/>
    </w:rPr>
  </w:style>
  <w:style w:type="numbering" w:customStyle="1" w:styleId="StyleCharOutlinenumbered">
    <w:name w:val="Style Char Outline numbered"/>
    <w:basedOn w:val="NoList"/>
    <w:rsid w:val="00421AFF"/>
    <w:pPr>
      <w:numPr>
        <w:numId w:val="35"/>
      </w:numPr>
    </w:pPr>
  </w:style>
  <w:style w:type="character" w:styleId="Hyperlink">
    <w:name w:val="Hyperlink"/>
    <w:rsid w:val="008E7C06"/>
    <w:rPr>
      <w:color w:val="0000FF"/>
      <w:u w:val="single"/>
    </w:rPr>
  </w:style>
  <w:style w:type="table" w:styleId="TableGrid">
    <w:name w:val="Table Grid"/>
    <w:basedOn w:val="TableNormal"/>
    <w:rsid w:val="00807C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B6CC7"/>
    <w:rPr>
      <w:rFonts w:ascii="Tahoma" w:hAnsi="Tahoma" w:cs="Tahoma"/>
      <w:sz w:val="16"/>
      <w:szCs w:val="16"/>
    </w:rPr>
  </w:style>
  <w:style w:type="character" w:customStyle="1" w:styleId="BalloonTextChar">
    <w:name w:val="Balloon Text Char"/>
    <w:link w:val="BalloonText"/>
    <w:rsid w:val="00FB6CC7"/>
    <w:rPr>
      <w:rFonts w:ascii="Tahoma" w:hAnsi="Tahoma" w:cs="Tahoma"/>
      <w:kern w:val="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184179">
      <w:bodyDiv w:val="1"/>
      <w:marLeft w:val="0"/>
      <w:marRight w:val="0"/>
      <w:marTop w:val="0"/>
      <w:marBottom w:val="0"/>
      <w:divBdr>
        <w:top w:val="none" w:sz="0" w:space="0" w:color="auto"/>
        <w:left w:val="none" w:sz="0" w:space="0" w:color="auto"/>
        <w:bottom w:val="none" w:sz="0" w:space="0" w:color="auto"/>
        <w:right w:val="none" w:sz="0" w:space="0" w:color="auto"/>
      </w:divBdr>
    </w:div>
    <w:div w:id="17784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366</TotalTime>
  <Pages>2</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IRR and Multiperiod ROE</vt:lpstr>
    </vt:vector>
  </TitlesOfParts>
  <Manager>http://www.godeohlson.com</Manager>
  <Company>paper.dot</Company>
  <LinksUpToDate>false</LinksUpToDate>
  <CharactersWithSpaces>11411</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 and Multiperiod ROE</dc:title>
  <dc:subject>Financial Statement Analysis and Valuation</dc:subject>
  <dc:creator>Dan Gode and James Ohlson</dc:creator>
  <cp:keywords/>
  <dc:description/>
  <cp:lastModifiedBy>Dan Gode</cp:lastModifiedBy>
  <cp:revision>68</cp:revision>
  <cp:lastPrinted>2013-04-11T00:57:00Z</cp:lastPrinted>
  <dcterms:created xsi:type="dcterms:W3CDTF">2012-01-08T20:33:00Z</dcterms:created>
  <dcterms:modified xsi:type="dcterms:W3CDTF">2016-09-03T23:01:00Z</dcterms:modified>
</cp:coreProperties>
</file>