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8B3" w:rsidRPr="00D93552" w:rsidRDefault="00D72FBB" w:rsidP="006508B3">
      <w:pPr>
        <w:pStyle w:val="Title"/>
      </w:pPr>
      <w:bookmarkStart w:id="0" w:name="_GoBack"/>
      <w:bookmarkEnd w:id="0"/>
      <w:r>
        <w:t>Adjusted Cash Earnings (ACE)</w:t>
      </w:r>
    </w:p>
    <w:p w:rsidR="003F3F5A" w:rsidRDefault="005F4D41" w:rsidP="006B6672">
      <w:pPr>
        <w:pStyle w:val="Subtitle"/>
      </w:pPr>
      <w:r>
        <w:t xml:space="preserve">© </w:t>
      </w:r>
      <w:r w:rsidR="003F3F5A">
        <w:t>Dan Gode and James Ohlson</w:t>
      </w:r>
    </w:p>
    <w:p w:rsidR="00A740EC" w:rsidRDefault="00A740EC" w:rsidP="00AA0EE5">
      <w:pPr>
        <w:pStyle w:val="Heading1"/>
      </w:pPr>
      <w:r>
        <w:t>Overview</w:t>
      </w:r>
    </w:p>
    <w:p w:rsidR="00820A65" w:rsidRDefault="00F65C60" w:rsidP="004A40CA">
      <w:pPr>
        <w:pStyle w:val="BodyText"/>
      </w:pPr>
      <w:r w:rsidRPr="00F65C60">
        <w:t xml:space="preserve">Accounting income </w:t>
      </w:r>
      <w:r w:rsidR="001862BC">
        <w:t>is the sum of cash flows and accruals w</w:t>
      </w:r>
      <w:r w:rsidR="00A21CE2">
        <w:t xml:space="preserve">ith the </w:t>
      </w:r>
      <w:r w:rsidR="001862BC">
        <w:t xml:space="preserve">former </w:t>
      </w:r>
      <w:r w:rsidR="00A21CE2">
        <w:t xml:space="preserve">being </w:t>
      </w:r>
      <w:r w:rsidR="001862BC">
        <w:t xml:space="preserve">more </w:t>
      </w:r>
      <w:r w:rsidRPr="00F65C60">
        <w:t xml:space="preserve">“objective” than </w:t>
      </w:r>
      <w:r w:rsidR="001862BC">
        <w:t>the latter</w:t>
      </w:r>
      <w:r w:rsidR="00A21CE2">
        <w:t>.</w:t>
      </w:r>
      <w:r w:rsidR="001862BC">
        <w:t xml:space="preserve"> If current income is used to forecast future income and cash flows, then biases i</w:t>
      </w:r>
      <w:r w:rsidR="00C177BF">
        <w:t>n</w:t>
      </w:r>
      <w:r w:rsidR="001862BC">
        <w:t xml:space="preserve"> current accruals can distort </w:t>
      </w:r>
      <w:r w:rsidR="0017386A">
        <w:t xml:space="preserve">these </w:t>
      </w:r>
      <w:r w:rsidR="00313139">
        <w:t>forecasts</w:t>
      </w:r>
      <w:r w:rsidR="001862BC">
        <w:t>.</w:t>
      </w:r>
      <w:r w:rsidR="0017386A">
        <w:t xml:space="preserve"> </w:t>
      </w:r>
      <w:r w:rsidR="005E0E50">
        <w:t>Therefore, a</w:t>
      </w:r>
      <w:r w:rsidR="00A21CE2">
        <w:t>nalysts and investors try</w:t>
      </w:r>
      <w:r w:rsidR="00234FEA">
        <w:t xml:space="preserve"> to </w:t>
      </w:r>
      <w:r w:rsidR="00971FA0">
        <w:t xml:space="preserve">identify </w:t>
      </w:r>
      <w:r w:rsidR="002F427F">
        <w:t>biased accruals</w:t>
      </w:r>
      <w:r w:rsidR="00234FEA">
        <w:t xml:space="preserve"> </w:t>
      </w:r>
      <w:r w:rsidR="00971FA0">
        <w:t xml:space="preserve">by scrutinizing </w:t>
      </w:r>
      <w:r w:rsidR="00234FEA">
        <w:t xml:space="preserve">financial statements and related footnotes. </w:t>
      </w:r>
      <w:r w:rsidR="0017386A">
        <w:t xml:space="preserve">Doing so </w:t>
      </w:r>
      <w:r w:rsidR="00234FEA" w:rsidRPr="00234FEA">
        <w:t>requires know</w:t>
      </w:r>
      <w:r w:rsidR="00971FA0">
        <w:t>ing</w:t>
      </w:r>
      <w:r w:rsidR="00234FEA" w:rsidRPr="00234FEA">
        <w:t xml:space="preserve"> accounting standards, familiarity with the company business, experience</w:t>
      </w:r>
      <w:r w:rsidR="002F427F">
        <w:t>, and time</w:t>
      </w:r>
      <w:r w:rsidR="00234FEA" w:rsidRPr="00234FEA">
        <w:t>.</w:t>
      </w:r>
      <w:r w:rsidR="00274D69">
        <w:t xml:space="preserve"> This spreadsheet provides a framework and tools to screen a large set of companies for further analysis of biased accruals. </w:t>
      </w:r>
    </w:p>
    <w:p w:rsidR="00A51232" w:rsidRDefault="009F1EE9" w:rsidP="004A40CA">
      <w:pPr>
        <w:pStyle w:val="BodyText"/>
      </w:pPr>
      <w:r w:rsidRPr="007640AA">
        <w:t xml:space="preserve">This spreadsheet </w:t>
      </w:r>
      <w:r w:rsidR="00820A65">
        <w:t xml:space="preserve">starts with a measure of “hard” equity that </w:t>
      </w:r>
      <w:r w:rsidR="0099579A">
        <w:t xml:space="preserve">leaves out </w:t>
      </w:r>
      <w:r w:rsidR="00820A65">
        <w:t xml:space="preserve">all subjective </w:t>
      </w:r>
      <w:r w:rsidR="00A51232">
        <w:t>assets and liabilities. That is, hard equity is the equity computed using modified cash accounting. We then define hard earnings as change in ha</w:t>
      </w:r>
      <w:r w:rsidR="00F536F4">
        <w:t xml:space="preserve">rd equity plus net dividends. Because hard equity is based on modified cash accounting, we call these hard earnings as cash earnings. </w:t>
      </w:r>
    </w:p>
    <w:p w:rsidR="009F1EE9" w:rsidRDefault="00684B9B" w:rsidP="004A40CA">
      <w:pPr>
        <w:pStyle w:val="BodyText"/>
      </w:pPr>
      <w:r>
        <w:t>H</w:t>
      </w:r>
      <w:r w:rsidR="00274D69">
        <w:t xml:space="preserve">ard earnings </w:t>
      </w:r>
      <w:r>
        <w:t>are lowered</w:t>
      </w:r>
      <w:r w:rsidR="00274D69">
        <w:t xml:space="preserve"> </w:t>
      </w:r>
      <w:r>
        <w:t>to the extent a</w:t>
      </w:r>
      <w:r w:rsidR="00274D69">
        <w:t xml:space="preserve"> company </w:t>
      </w:r>
      <w:r w:rsidR="00C21B54">
        <w:t xml:space="preserve">spends cash to </w:t>
      </w:r>
      <w:r w:rsidR="00997C02">
        <w:t xml:space="preserve">grow, </w:t>
      </w:r>
      <w:r>
        <w:t xml:space="preserve">e.g., inventories and PP&amp;E need to grow as sales grow. </w:t>
      </w:r>
      <w:r w:rsidR="00365D94">
        <w:t xml:space="preserve">That, is one would expect soft equity to grow as sales grow. </w:t>
      </w:r>
      <w:r w:rsidR="00997C02">
        <w:t xml:space="preserve">Therefore, the spreadsheet </w:t>
      </w:r>
      <w:r w:rsidR="00365D94">
        <w:t>defines adjusted hard earnings as the sum of hard</w:t>
      </w:r>
      <w:r w:rsidR="00820A65">
        <w:t xml:space="preserve"> </w:t>
      </w:r>
      <w:r w:rsidR="00997C02">
        <w:t>earnings</w:t>
      </w:r>
      <w:r w:rsidR="00820A65">
        <w:t xml:space="preserve"> </w:t>
      </w:r>
      <w:r w:rsidR="00365D94">
        <w:t>and expected change in soft equity due to sales growth. We call these adjusted hard earnings as Ad</w:t>
      </w:r>
      <w:r w:rsidR="00B02E30">
        <w:t xml:space="preserve">justed Cash Earnings </w:t>
      </w:r>
      <w:r w:rsidR="00365D94">
        <w:t>(</w:t>
      </w:r>
      <w:r w:rsidR="009F1EE9" w:rsidRPr="008F2AD8">
        <w:rPr>
          <w:rStyle w:val="Emphasize"/>
          <w:i/>
        </w:rPr>
        <w:t>ACE</w:t>
      </w:r>
      <w:r w:rsidR="00820A65">
        <w:t>)</w:t>
      </w:r>
      <w:r w:rsidR="00EE04A8">
        <w:t>.</w:t>
      </w:r>
    </w:p>
    <w:p w:rsidR="004A40CA" w:rsidRPr="004A40CA" w:rsidRDefault="004A40CA" w:rsidP="004A40CA">
      <w:pPr>
        <w:pStyle w:val="Heading2"/>
      </w:pPr>
      <w:r>
        <w:t>Key metrics and their purpose</w:t>
      </w:r>
    </w:p>
    <w:p w:rsidR="00CC20EF" w:rsidRDefault="0038574F" w:rsidP="00EC6F5A">
      <w:pPr>
        <w:pStyle w:val="BodyText"/>
      </w:pPr>
      <w:r>
        <w:t xml:space="preserve">The excess of </w:t>
      </w:r>
      <w:r w:rsidR="00CC20EF">
        <w:t xml:space="preserve">reported earnings over </w:t>
      </w:r>
      <w:r w:rsidR="007011F5">
        <w:t xml:space="preserve">Adjusted Cash Earnings </w:t>
      </w:r>
      <w:r w:rsidR="00CC20EF">
        <w:t xml:space="preserve">in the current period </w:t>
      </w:r>
      <w:r>
        <w:t xml:space="preserve">suggests that future reported </w:t>
      </w:r>
      <w:r w:rsidR="00CC20EF">
        <w:t xml:space="preserve">profit </w:t>
      </w:r>
      <w:r>
        <w:t xml:space="preserve">margins </w:t>
      </w:r>
      <w:r w:rsidR="00F32221">
        <w:t>would</w:t>
      </w:r>
      <w:r>
        <w:t xml:space="preserve"> decline. </w:t>
      </w:r>
      <w:r w:rsidR="00230D68">
        <w:t>To understand why, let us examine the two scenarios in which r</w:t>
      </w:r>
      <w:r w:rsidR="0061210F">
        <w:t>eporte</w:t>
      </w:r>
      <w:r w:rsidR="007011F5">
        <w:t xml:space="preserve">d earnings </w:t>
      </w:r>
      <w:r w:rsidR="00864ED5">
        <w:t xml:space="preserve">can </w:t>
      </w:r>
      <w:r w:rsidR="007011F5">
        <w:t>exceed ACE</w:t>
      </w:r>
      <w:r w:rsidR="00CC20EF">
        <w:t xml:space="preserve"> in the context of depreciation expense. In the first scenario</w:t>
      </w:r>
      <w:r w:rsidR="00864ED5">
        <w:t xml:space="preserve">, </w:t>
      </w:r>
      <w:r w:rsidR="00CC20EF">
        <w:t>the company has deflated i</w:t>
      </w:r>
      <w:r w:rsidR="00BC5691">
        <w:t xml:space="preserve">ts depreciation expense </w:t>
      </w:r>
      <w:r w:rsidR="00CC20EF">
        <w:t>in the current period but will have to depreciate more in the future. This will cause the future profit margin to be less than the current profit margin. In the second scenario</w:t>
      </w:r>
      <w:r>
        <w:t xml:space="preserve">, </w:t>
      </w:r>
      <w:r w:rsidR="00CC20EF">
        <w:t>the company had inflated its depreciation expense in the past, e.g., via excessive write-offs and is now booking less depreciation expense. In either case, the ratio of depreciation expense to sales will rise in the future</w:t>
      </w:r>
      <w:r w:rsidR="00C11ACE">
        <w:t xml:space="preserve"> relative to the current period</w:t>
      </w:r>
      <w:r w:rsidR="00CC20EF">
        <w:t>, which will hurt reported profit margins.</w:t>
      </w:r>
    </w:p>
    <w:p w:rsidR="00D07041" w:rsidRDefault="00D84740" w:rsidP="00D07041">
      <w:pPr>
        <w:pStyle w:val="BodyText"/>
      </w:pPr>
      <w:r>
        <w:t>These</w:t>
      </w:r>
      <w:r w:rsidR="00FD5782">
        <w:t xml:space="preserve"> observation</w:t>
      </w:r>
      <w:r>
        <w:t>s motivate</w:t>
      </w:r>
      <w:r w:rsidR="00FD5782">
        <w:t xml:space="preserve"> the key metrics in the spreadsheet, namely, the difference between reported </w:t>
      </w:r>
      <w:r w:rsidR="00B02E30">
        <w:t xml:space="preserve">earnings </w:t>
      </w:r>
      <w:r w:rsidR="00FD5782">
        <w:t xml:space="preserve">and ACE </w:t>
      </w:r>
      <w:r w:rsidR="00C7798F">
        <w:t>scaled</w:t>
      </w:r>
      <w:r w:rsidR="00FD5782">
        <w:t xml:space="preserve"> by sales</w:t>
      </w:r>
      <w:r w:rsidR="00F4021B">
        <w:t xml:space="preserve"> and reported earnings t</w:t>
      </w:r>
      <w:r>
        <w:t>o get a sense of materiality</w:t>
      </w:r>
      <w:r w:rsidR="00FD5782">
        <w:t>.</w:t>
      </w:r>
      <w:r>
        <w:t xml:space="preserve"> </w:t>
      </w:r>
    </w:p>
    <w:p w:rsidR="008F2AD8" w:rsidRDefault="00D07041" w:rsidP="00D07041">
      <w:pPr>
        <w:pStyle w:val="BodyText"/>
      </w:pPr>
      <w:r>
        <w:t>To get a sense of stocks of instead of just flows, w</w:t>
      </w:r>
      <w:r w:rsidR="002B0287">
        <w:t>e also examine the ratio of soft equity to sales</w:t>
      </w:r>
      <w:r>
        <w:t>. A rising ratio portends declining reported profit margins.</w:t>
      </w:r>
    </w:p>
    <w:p w:rsidR="008F2AD8" w:rsidRDefault="008F2AD8" w:rsidP="008F2AD8">
      <w:pPr>
        <w:pStyle w:val="Heading2"/>
      </w:pPr>
      <w:r>
        <w:t>Soft versus hard items</w:t>
      </w:r>
    </w:p>
    <w:p w:rsidR="008F2AD8" w:rsidRDefault="008F2AD8" w:rsidP="008F2AD8">
      <w:pPr>
        <w:pStyle w:val="BodyText"/>
      </w:pPr>
      <w:r w:rsidRPr="004A40CA">
        <w:t xml:space="preserve">The </w:t>
      </w:r>
      <w:r w:rsidR="00C7798F">
        <w:t xml:space="preserve">measurement of ACE </w:t>
      </w:r>
      <w:r>
        <w:t xml:space="preserve">spreadsheet </w:t>
      </w:r>
      <w:r w:rsidR="00C7798F">
        <w:t xml:space="preserve">relies on separating </w:t>
      </w:r>
      <w:r>
        <w:t>w</w:t>
      </w:r>
      <w:r w:rsidRPr="004A40CA">
        <w:t>hat we refer to as “hard” assets and liabilities</w:t>
      </w:r>
      <w:r>
        <w:t xml:space="preserve"> from “soft” assets and liabilities</w:t>
      </w:r>
      <w:r w:rsidRPr="004A40CA">
        <w:t xml:space="preserve">. </w:t>
      </w:r>
      <w:r>
        <w:t xml:space="preserve">Hard items such as </w:t>
      </w:r>
      <w:r w:rsidR="00C7798F">
        <w:t xml:space="preserve">cash, short-duration receivables and payables, and debt </w:t>
      </w:r>
      <w:r>
        <w:t xml:space="preserve">are likely to be objectively measured </w:t>
      </w:r>
      <w:r w:rsidR="00C7798F">
        <w:t xml:space="preserve">while </w:t>
      </w:r>
      <w:r w:rsidRPr="004A40CA">
        <w:t xml:space="preserve">“soft” </w:t>
      </w:r>
      <w:r w:rsidR="00C7798F">
        <w:t>items such as inventories, PP&amp;E, deferred revenues, and pension accruals are more subjective.</w:t>
      </w:r>
      <w:r w:rsidRPr="004A40CA">
        <w:t xml:space="preserve"> </w:t>
      </w:r>
    </w:p>
    <w:p w:rsidR="00A3205B" w:rsidRDefault="00A3205B" w:rsidP="00A3205B">
      <w:pPr>
        <w:pStyle w:val="Heading1"/>
      </w:pPr>
      <w:r>
        <w:t>Computation of ACE</w:t>
      </w:r>
    </w:p>
    <w:p w:rsidR="00F52B2F" w:rsidRDefault="00770299" w:rsidP="00DE2922">
      <w:pPr>
        <w:pStyle w:val="BodyText"/>
      </w:pPr>
      <w:r>
        <w:t>The spreadsheet</w:t>
      </w:r>
      <w:r w:rsidR="006A1ABF">
        <w:t xml:space="preserve"> </w:t>
      </w:r>
      <w:r>
        <w:t xml:space="preserve">computes ACE in </w:t>
      </w:r>
      <w:r w:rsidR="006A1ABF">
        <w:t>two steps</w:t>
      </w:r>
      <w:r w:rsidR="00A25216">
        <w:t xml:space="preserve"> described below.</w:t>
      </w:r>
    </w:p>
    <w:p w:rsidR="002B4603" w:rsidRDefault="000009FB" w:rsidP="002B4603">
      <w:pPr>
        <w:pStyle w:val="Heading2"/>
      </w:pPr>
      <w:r>
        <w:t>S</w:t>
      </w:r>
      <w:r w:rsidR="002B4603">
        <w:t xml:space="preserve">tep 1: Compute </w:t>
      </w:r>
      <w:r>
        <w:t>Cash E</w:t>
      </w:r>
      <w:r w:rsidR="002B4603">
        <w:t>arnings</w:t>
      </w:r>
      <w:r w:rsidR="006461B2">
        <w:t xml:space="preserve"> </w:t>
      </w:r>
      <w:r w:rsidR="006461B2" w:rsidRPr="006461B2">
        <w:t>[aka Hard Earnings]</w:t>
      </w:r>
    </w:p>
    <w:p w:rsidR="00770BCA" w:rsidRPr="00770BCA" w:rsidRDefault="00770BCA" w:rsidP="00770BCA">
      <w:pPr>
        <w:pStyle w:val="Heading3"/>
      </w:pPr>
      <w:r>
        <w:t>Concepts</w:t>
      </w:r>
    </w:p>
    <w:p w:rsidR="0053728D" w:rsidRDefault="006461B2" w:rsidP="00AA66B7">
      <w:pPr>
        <w:pStyle w:val="BodyText"/>
        <w:numPr>
          <w:ilvl w:val="0"/>
          <w:numId w:val="47"/>
        </w:numPr>
      </w:pPr>
      <w:r>
        <w:t>Comprehensive e</w:t>
      </w:r>
      <w:r w:rsidR="0053728D">
        <w:t>arnings = change in equity + net dividends.</w:t>
      </w:r>
    </w:p>
    <w:p w:rsidR="0053728D" w:rsidRDefault="0053728D" w:rsidP="0053728D">
      <w:pPr>
        <w:pStyle w:val="BodyText"/>
        <w:numPr>
          <w:ilvl w:val="1"/>
          <w:numId w:val="47"/>
        </w:numPr>
      </w:pPr>
      <w:r>
        <w:lastRenderedPageBreak/>
        <w:t xml:space="preserve">Equity = assets - liabilities. </w:t>
      </w:r>
    </w:p>
    <w:p w:rsidR="0053728D" w:rsidRDefault="00705711" w:rsidP="0053728D">
      <w:pPr>
        <w:pStyle w:val="BodyText"/>
        <w:numPr>
          <w:ilvl w:val="0"/>
          <w:numId w:val="47"/>
        </w:numPr>
      </w:pPr>
      <w:r>
        <w:t>Comprehensive c</w:t>
      </w:r>
      <w:r w:rsidR="0053728D">
        <w:t>ash earnings or “hard” earnings = change in “hard” equity + net dividends</w:t>
      </w:r>
    </w:p>
    <w:p w:rsidR="0053728D" w:rsidRDefault="0053728D" w:rsidP="0053728D">
      <w:pPr>
        <w:pStyle w:val="BodyText"/>
        <w:numPr>
          <w:ilvl w:val="1"/>
          <w:numId w:val="47"/>
        </w:numPr>
      </w:pPr>
      <w:r>
        <w:t>“Hard” equity= “hard” assets minus “hard” liabilities.</w:t>
      </w:r>
    </w:p>
    <w:p w:rsidR="000009FB" w:rsidRDefault="00F86F56" w:rsidP="0053728D">
      <w:pPr>
        <w:pStyle w:val="BodyText"/>
        <w:numPr>
          <w:ilvl w:val="1"/>
          <w:numId w:val="47"/>
        </w:numPr>
      </w:pPr>
      <w:r w:rsidRPr="00F86F56">
        <w:t xml:space="preserve">We motivate the terminology "hard" assets/liabilities by the idea that </w:t>
      </w:r>
      <w:r w:rsidR="00250D32">
        <w:t>hard items</w:t>
      </w:r>
      <w:r w:rsidRPr="00F86F56">
        <w:t xml:space="preserve"> are </w:t>
      </w:r>
      <w:r w:rsidR="00A61A8B">
        <w:t xml:space="preserve">less dependent on </w:t>
      </w:r>
      <w:r w:rsidRPr="00F86F56">
        <w:t xml:space="preserve">estimates and other subjective </w:t>
      </w:r>
      <w:r w:rsidR="00250D32">
        <w:t>judgments</w:t>
      </w:r>
      <w:r w:rsidRPr="00F86F56">
        <w:t>.</w:t>
      </w:r>
      <w:r w:rsidR="000009FB">
        <w:t xml:space="preserve"> </w:t>
      </w:r>
      <w:r w:rsidR="007F3A53">
        <w:t>Thus, Cash Earnings can also be viewed as Hard Earnings.</w:t>
      </w:r>
    </w:p>
    <w:p w:rsidR="00770BCA" w:rsidRDefault="00770BCA" w:rsidP="00770BCA">
      <w:pPr>
        <w:pStyle w:val="Heading3"/>
      </w:pPr>
      <w:r>
        <w:t>Specific steps</w:t>
      </w:r>
    </w:p>
    <w:p w:rsidR="00770BCA" w:rsidRDefault="00770BCA" w:rsidP="00770BCA">
      <w:pPr>
        <w:pStyle w:val="BodyText"/>
        <w:numPr>
          <w:ilvl w:val="0"/>
          <w:numId w:val="47"/>
        </w:numPr>
      </w:pPr>
      <w:r>
        <w:t>Compute change in hard equity</w:t>
      </w:r>
    </w:p>
    <w:p w:rsidR="00A62C77" w:rsidRDefault="00F52B2F" w:rsidP="00770BCA">
      <w:pPr>
        <w:pStyle w:val="BodyText"/>
        <w:numPr>
          <w:ilvl w:val="1"/>
          <w:numId w:val="47"/>
        </w:numPr>
      </w:pPr>
      <w:r>
        <w:t xml:space="preserve">Hard assets </w:t>
      </w:r>
      <w:r w:rsidR="000906B1">
        <w:t xml:space="preserve">= </w:t>
      </w:r>
      <w:r w:rsidRPr="00F52B2F">
        <w:t xml:space="preserve">financial assets </w:t>
      </w:r>
      <w:r w:rsidR="000906B1">
        <w:t xml:space="preserve">+ </w:t>
      </w:r>
      <w:r w:rsidRPr="00F52B2F">
        <w:t xml:space="preserve">receivables that are </w:t>
      </w:r>
      <w:r w:rsidR="00D82190">
        <w:t>like financial assets</w:t>
      </w:r>
    </w:p>
    <w:p w:rsidR="00A62C77" w:rsidRDefault="00D82190" w:rsidP="00770BCA">
      <w:pPr>
        <w:pStyle w:val="BodyText"/>
        <w:numPr>
          <w:ilvl w:val="1"/>
          <w:numId w:val="47"/>
        </w:numPr>
      </w:pPr>
      <w:r>
        <w:t>Ha</w:t>
      </w:r>
      <w:r w:rsidR="00F52B2F" w:rsidRPr="00F52B2F">
        <w:t xml:space="preserve">rd liabilities </w:t>
      </w:r>
      <w:r w:rsidR="000906B1">
        <w:t>=</w:t>
      </w:r>
      <w:r w:rsidR="00F52B2F" w:rsidRPr="00F52B2F">
        <w:t xml:space="preserve"> financial liabilities </w:t>
      </w:r>
      <w:r w:rsidR="000906B1">
        <w:t>+</w:t>
      </w:r>
      <w:r w:rsidR="004A405F">
        <w:t xml:space="preserve"> payables that are </w:t>
      </w:r>
      <w:r>
        <w:t>like financial liabilities</w:t>
      </w:r>
    </w:p>
    <w:p w:rsidR="00770BCA" w:rsidRDefault="00770BCA" w:rsidP="00770BCA">
      <w:pPr>
        <w:pStyle w:val="BodyText"/>
        <w:numPr>
          <w:ilvl w:val="1"/>
          <w:numId w:val="47"/>
        </w:numPr>
      </w:pPr>
      <w:r>
        <w:t>“Hard” equity= “hard” assets minus “hard” liabilities</w:t>
      </w:r>
    </w:p>
    <w:p w:rsidR="00705711" w:rsidRDefault="00705711" w:rsidP="00705711">
      <w:pPr>
        <w:pStyle w:val="BodyText"/>
        <w:numPr>
          <w:ilvl w:val="1"/>
          <w:numId w:val="47"/>
        </w:numPr>
      </w:pPr>
      <w:r>
        <w:t>If one considers financial assets and financial liabilities as the only hard items, then one arrives at a very restrictive definition of cash earnings. This definition is sometimes used in practice.</w:t>
      </w:r>
    </w:p>
    <w:p w:rsidR="00770BCA" w:rsidRDefault="00770BCA" w:rsidP="0011066D">
      <w:pPr>
        <w:pStyle w:val="BodyText"/>
        <w:numPr>
          <w:ilvl w:val="0"/>
          <w:numId w:val="47"/>
        </w:numPr>
      </w:pPr>
      <w:r>
        <w:t>Net dividends = Comprehensive earnings - change in equity</w:t>
      </w:r>
    </w:p>
    <w:p w:rsidR="00770BCA" w:rsidRDefault="00770BCA" w:rsidP="0011066D">
      <w:pPr>
        <w:pStyle w:val="BodyText"/>
        <w:numPr>
          <w:ilvl w:val="0"/>
          <w:numId w:val="47"/>
        </w:numPr>
      </w:pPr>
      <w:r>
        <w:t>Comprehensive cash earnings or “hard” earnings = change in “hard” equity + net dividends</w:t>
      </w:r>
    </w:p>
    <w:p w:rsidR="00F52B2F" w:rsidRDefault="00F52B2F" w:rsidP="00770BCA">
      <w:pPr>
        <w:pStyle w:val="BodyText"/>
        <w:numPr>
          <w:ilvl w:val="0"/>
          <w:numId w:val="47"/>
        </w:numPr>
      </w:pPr>
      <w:r>
        <w:t xml:space="preserve">Compute </w:t>
      </w:r>
      <w:r w:rsidR="0065711D">
        <w:t>soft components</w:t>
      </w:r>
    </w:p>
    <w:p w:rsidR="00F52B2F" w:rsidRDefault="00F52B2F" w:rsidP="00A62C77">
      <w:pPr>
        <w:pStyle w:val="BodyText"/>
        <w:numPr>
          <w:ilvl w:val="1"/>
          <w:numId w:val="47"/>
        </w:numPr>
      </w:pPr>
      <w:r>
        <w:t>Soft component of earnings = Reported earnings – Hard earnings</w:t>
      </w:r>
    </w:p>
    <w:p w:rsidR="006461B2" w:rsidRDefault="006461B2" w:rsidP="006461B2">
      <w:pPr>
        <w:pStyle w:val="BodyText"/>
        <w:numPr>
          <w:ilvl w:val="1"/>
          <w:numId w:val="47"/>
        </w:numPr>
      </w:pPr>
      <w:r>
        <w:t>Soft component of equity = Reported equity – Hard equity</w:t>
      </w:r>
    </w:p>
    <w:p w:rsidR="00770BCA" w:rsidRDefault="00765C33" w:rsidP="00770BCA">
      <w:pPr>
        <w:pStyle w:val="BodyText"/>
        <w:numPr>
          <w:ilvl w:val="0"/>
          <w:numId w:val="47"/>
        </w:numPr>
      </w:pPr>
      <w:r>
        <w:t xml:space="preserve">Optional: </w:t>
      </w:r>
      <w:r w:rsidR="004725CE">
        <w:t xml:space="preserve">To illustrate how to determine if </w:t>
      </w:r>
      <w:r w:rsidR="00770BCA">
        <w:t>an item is hard or soft, we evaluate receivables</w:t>
      </w:r>
      <w:r w:rsidR="004725CE">
        <w:t xml:space="preserve"> in the “Example” tab</w:t>
      </w:r>
      <w:r w:rsidR="00770BCA">
        <w:t xml:space="preserve">. </w:t>
      </w:r>
      <w:r w:rsidR="003A76C3">
        <w:t>We consider two indicators of the subjectivity of collection risk</w:t>
      </w:r>
      <w:r w:rsidR="00770BCA">
        <w:t>: days of receivables</w:t>
      </w:r>
      <w:r>
        <w:t xml:space="preserve"> (=receivables/sales per day)</w:t>
      </w:r>
      <w:r w:rsidR="00770BCA">
        <w:t xml:space="preserve"> and allowance for bad debts as percent of receivables. We then specify </w:t>
      </w:r>
      <w:r w:rsidR="00770BCA" w:rsidRPr="00115FA3">
        <w:t>cutoffs</w:t>
      </w:r>
      <w:r w:rsidR="00770BCA">
        <w:t xml:space="preserve"> for these two measures of quality of receivables. R</w:t>
      </w:r>
      <w:r w:rsidR="00770BCA" w:rsidRPr="00115FA3">
        <w:t>eceivable</w:t>
      </w:r>
      <w:r w:rsidR="00770BCA">
        <w:t>s qualify as hard assets</w:t>
      </w:r>
      <w:r w:rsidR="00770BCA" w:rsidRPr="00115FA3">
        <w:t xml:space="preserve"> if and</w:t>
      </w:r>
      <w:r w:rsidR="00770BCA">
        <w:t xml:space="preserve"> only if both cutoffs</w:t>
      </w:r>
      <w:r w:rsidR="00770BCA" w:rsidRPr="00115FA3">
        <w:t xml:space="preserve"> are met.</w:t>
      </w:r>
    </w:p>
    <w:p w:rsidR="002F427F" w:rsidRDefault="002F427F" w:rsidP="002F427F">
      <w:pPr>
        <w:pStyle w:val="Heading3"/>
      </w:pPr>
      <w:r>
        <w:t>Clarification: Effect of dividends</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5969"/>
        <w:gridCol w:w="2181"/>
      </w:tblGrid>
      <w:tr w:rsidR="002F427F" w:rsidTr="002F427F">
        <w:trPr>
          <w:cantSplit/>
        </w:trPr>
        <w:tc>
          <w:tcPr>
            <w:tcW w:w="0" w:type="auto"/>
            <w:tcBorders>
              <w:bottom w:val="single" w:sz="2" w:space="0" w:color="auto"/>
            </w:tcBorders>
            <w:shd w:val="clear" w:color="auto" w:fill="CCECFF"/>
          </w:tcPr>
          <w:p w:rsidR="002F427F" w:rsidRDefault="002F427F" w:rsidP="002F427F">
            <w:pPr>
              <w:pStyle w:val="TableLeftText"/>
              <w:keepNext/>
            </w:pPr>
            <w:r>
              <w:t>Metric</w:t>
            </w:r>
          </w:p>
        </w:tc>
        <w:tc>
          <w:tcPr>
            <w:tcW w:w="0" w:type="auto"/>
            <w:tcBorders>
              <w:bottom w:val="single" w:sz="2" w:space="0" w:color="auto"/>
            </w:tcBorders>
            <w:shd w:val="clear" w:color="auto" w:fill="CCECFF"/>
          </w:tcPr>
          <w:p w:rsidR="002F427F" w:rsidRDefault="002F427F" w:rsidP="002F427F">
            <w:pPr>
              <w:pStyle w:val="TableLeftText"/>
              <w:keepNext/>
            </w:pPr>
            <w:r>
              <w:t>Affected by dividends</w:t>
            </w:r>
          </w:p>
        </w:tc>
      </w:tr>
      <w:tr w:rsidR="002F427F" w:rsidTr="002F427F">
        <w:trPr>
          <w:cantSplit/>
        </w:trPr>
        <w:tc>
          <w:tcPr>
            <w:tcW w:w="0" w:type="auto"/>
            <w:tcBorders>
              <w:bottom w:val="single" w:sz="2" w:space="0" w:color="auto"/>
            </w:tcBorders>
            <w:shd w:val="clear" w:color="auto" w:fill="E6E6E6"/>
          </w:tcPr>
          <w:p w:rsidR="002F427F" w:rsidRDefault="002F427F" w:rsidP="002F427F">
            <w:pPr>
              <w:pStyle w:val="TableLeftText"/>
              <w:keepNext/>
            </w:pPr>
            <w:r>
              <w:t>Balance sheet</w:t>
            </w:r>
          </w:p>
        </w:tc>
        <w:tc>
          <w:tcPr>
            <w:tcW w:w="0" w:type="auto"/>
            <w:tcBorders>
              <w:bottom w:val="single" w:sz="2" w:space="0" w:color="auto"/>
            </w:tcBorders>
            <w:shd w:val="clear" w:color="auto" w:fill="E6E6E6"/>
          </w:tcPr>
          <w:p w:rsidR="002F427F" w:rsidRDefault="002F427F" w:rsidP="002F427F">
            <w:pPr>
              <w:pStyle w:val="TableLeftText"/>
              <w:keepNext/>
            </w:pPr>
          </w:p>
        </w:tc>
      </w:tr>
      <w:tr w:rsidR="002F427F" w:rsidTr="002F427F">
        <w:trPr>
          <w:cantSplit/>
        </w:trPr>
        <w:tc>
          <w:tcPr>
            <w:tcW w:w="0" w:type="auto"/>
            <w:tcBorders>
              <w:bottom w:val="single" w:sz="2" w:space="0" w:color="auto"/>
            </w:tcBorders>
            <w:shd w:val="clear" w:color="auto" w:fill="auto"/>
          </w:tcPr>
          <w:p w:rsidR="002F427F" w:rsidRDefault="002F427F" w:rsidP="002F427F">
            <w:pPr>
              <w:pStyle w:val="TableLeftText"/>
              <w:keepNext/>
            </w:pPr>
            <w:r>
              <w:t>Reported equity</w:t>
            </w:r>
          </w:p>
        </w:tc>
        <w:tc>
          <w:tcPr>
            <w:tcW w:w="0" w:type="auto"/>
            <w:tcBorders>
              <w:bottom w:val="single" w:sz="2" w:space="0" w:color="auto"/>
            </w:tcBorders>
            <w:shd w:val="clear" w:color="auto" w:fill="auto"/>
          </w:tcPr>
          <w:p w:rsidR="002F427F" w:rsidRDefault="002F427F" w:rsidP="002F427F">
            <w:pPr>
              <w:pStyle w:val="TableLeftText"/>
              <w:keepNext/>
            </w:pPr>
            <w:r>
              <w:t>Yes</w:t>
            </w:r>
          </w:p>
        </w:tc>
      </w:tr>
      <w:tr w:rsidR="002F427F" w:rsidTr="002F427F">
        <w:trPr>
          <w:cantSplit/>
        </w:trPr>
        <w:tc>
          <w:tcPr>
            <w:tcW w:w="0" w:type="auto"/>
            <w:tcBorders>
              <w:bottom w:val="single" w:sz="2" w:space="0" w:color="auto"/>
            </w:tcBorders>
            <w:shd w:val="clear" w:color="auto" w:fill="auto"/>
          </w:tcPr>
          <w:p w:rsidR="002F427F" w:rsidRDefault="002F427F" w:rsidP="002F427F">
            <w:pPr>
              <w:pStyle w:val="TableLeftText"/>
              <w:keepNext/>
            </w:pPr>
            <w:r>
              <w:t>Hard equity</w:t>
            </w:r>
          </w:p>
        </w:tc>
        <w:tc>
          <w:tcPr>
            <w:tcW w:w="0" w:type="auto"/>
            <w:tcBorders>
              <w:bottom w:val="single" w:sz="2" w:space="0" w:color="auto"/>
            </w:tcBorders>
            <w:shd w:val="clear" w:color="auto" w:fill="auto"/>
          </w:tcPr>
          <w:p w:rsidR="002F427F" w:rsidRDefault="002F427F" w:rsidP="002F427F">
            <w:pPr>
              <w:pStyle w:val="TableLeftText"/>
              <w:keepNext/>
            </w:pPr>
            <w:r>
              <w:t>Yes</w:t>
            </w:r>
          </w:p>
        </w:tc>
      </w:tr>
      <w:tr w:rsidR="002F427F" w:rsidTr="002F427F">
        <w:trPr>
          <w:cantSplit/>
        </w:trPr>
        <w:tc>
          <w:tcPr>
            <w:tcW w:w="0" w:type="auto"/>
            <w:tcBorders>
              <w:bottom w:val="single" w:sz="2" w:space="0" w:color="auto"/>
            </w:tcBorders>
            <w:shd w:val="clear" w:color="auto" w:fill="auto"/>
          </w:tcPr>
          <w:p w:rsidR="002F427F" w:rsidRDefault="002F427F" w:rsidP="002F427F">
            <w:pPr>
              <w:pStyle w:val="TableLeftText"/>
              <w:keepNext/>
            </w:pPr>
            <w:r>
              <w:t>Soft component of equity = Reported equity – Hard equity</w:t>
            </w:r>
          </w:p>
        </w:tc>
        <w:tc>
          <w:tcPr>
            <w:tcW w:w="0" w:type="auto"/>
            <w:tcBorders>
              <w:bottom w:val="single" w:sz="2" w:space="0" w:color="auto"/>
            </w:tcBorders>
            <w:shd w:val="clear" w:color="auto" w:fill="auto"/>
          </w:tcPr>
          <w:p w:rsidR="002F427F" w:rsidRDefault="002F427F" w:rsidP="002F427F">
            <w:pPr>
              <w:pStyle w:val="TableLeftText"/>
              <w:keepNext/>
            </w:pPr>
            <w:r>
              <w:t>No</w:t>
            </w:r>
          </w:p>
        </w:tc>
      </w:tr>
      <w:tr w:rsidR="002F427F" w:rsidTr="002F427F">
        <w:trPr>
          <w:cantSplit/>
        </w:trPr>
        <w:tc>
          <w:tcPr>
            <w:tcW w:w="0" w:type="auto"/>
            <w:tcBorders>
              <w:bottom w:val="single" w:sz="2" w:space="0" w:color="auto"/>
            </w:tcBorders>
            <w:shd w:val="clear" w:color="auto" w:fill="E6E6E6"/>
          </w:tcPr>
          <w:p w:rsidR="002F427F" w:rsidRDefault="002F427F" w:rsidP="002F427F">
            <w:pPr>
              <w:pStyle w:val="TableLeftText"/>
              <w:keepNext/>
            </w:pPr>
            <w:r>
              <w:t>Income statement</w:t>
            </w:r>
          </w:p>
        </w:tc>
        <w:tc>
          <w:tcPr>
            <w:tcW w:w="0" w:type="auto"/>
            <w:tcBorders>
              <w:bottom w:val="single" w:sz="2" w:space="0" w:color="auto"/>
            </w:tcBorders>
            <w:shd w:val="clear" w:color="auto" w:fill="E6E6E6"/>
          </w:tcPr>
          <w:p w:rsidR="002F427F" w:rsidRDefault="002F427F" w:rsidP="002F427F">
            <w:pPr>
              <w:pStyle w:val="TableLeftText"/>
              <w:keepNext/>
            </w:pPr>
          </w:p>
        </w:tc>
      </w:tr>
      <w:tr w:rsidR="002F427F" w:rsidTr="002F427F">
        <w:trPr>
          <w:cantSplit/>
        </w:trPr>
        <w:tc>
          <w:tcPr>
            <w:tcW w:w="0" w:type="auto"/>
            <w:tcBorders>
              <w:bottom w:val="single" w:sz="2" w:space="0" w:color="auto"/>
            </w:tcBorders>
            <w:shd w:val="clear" w:color="auto" w:fill="auto"/>
          </w:tcPr>
          <w:p w:rsidR="002F427F" w:rsidRDefault="002F427F" w:rsidP="002F427F">
            <w:pPr>
              <w:pStyle w:val="TableLeftText"/>
              <w:keepNext/>
            </w:pPr>
            <w:r>
              <w:t>Reported earnings</w:t>
            </w:r>
          </w:p>
        </w:tc>
        <w:tc>
          <w:tcPr>
            <w:tcW w:w="0" w:type="auto"/>
            <w:tcBorders>
              <w:bottom w:val="single" w:sz="2" w:space="0" w:color="auto"/>
            </w:tcBorders>
            <w:shd w:val="clear" w:color="auto" w:fill="auto"/>
          </w:tcPr>
          <w:p w:rsidR="002F427F" w:rsidRDefault="002F427F" w:rsidP="002F427F">
            <w:pPr>
              <w:pStyle w:val="TableLeftText"/>
              <w:keepNext/>
            </w:pPr>
            <w:r>
              <w:t>No</w:t>
            </w:r>
          </w:p>
        </w:tc>
      </w:tr>
      <w:tr w:rsidR="002F427F" w:rsidTr="002F427F">
        <w:trPr>
          <w:cantSplit/>
        </w:trPr>
        <w:tc>
          <w:tcPr>
            <w:tcW w:w="0" w:type="auto"/>
            <w:tcBorders>
              <w:bottom w:val="single" w:sz="2" w:space="0" w:color="auto"/>
            </w:tcBorders>
            <w:shd w:val="clear" w:color="auto" w:fill="auto"/>
          </w:tcPr>
          <w:p w:rsidR="002F427F" w:rsidRDefault="002F427F" w:rsidP="002F427F">
            <w:pPr>
              <w:pStyle w:val="TableLeftText"/>
              <w:keepNext/>
            </w:pPr>
            <w:r>
              <w:t>Hard earnings</w:t>
            </w:r>
          </w:p>
        </w:tc>
        <w:tc>
          <w:tcPr>
            <w:tcW w:w="0" w:type="auto"/>
            <w:tcBorders>
              <w:bottom w:val="single" w:sz="2" w:space="0" w:color="auto"/>
            </w:tcBorders>
            <w:shd w:val="clear" w:color="auto" w:fill="auto"/>
          </w:tcPr>
          <w:p w:rsidR="002F427F" w:rsidRDefault="002F427F" w:rsidP="002F427F">
            <w:pPr>
              <w:pStyle w:val="TableLeftText"/>
              <w:keepNext/>
            </w:pPr>
            <w:r>
              <w:t>No</w:t>
            </w:r>
          </w:p>
        </w:tc>
      </w:tr>
      <w:tr w:rsidR="002F427F" w:rsidTr="002F427F">
        <w:trPr>
          <w:cantSplit/>
        </w:trPr>
        <w:tc>
          <w:tcPr>
            <w:tcW w:w="0" w:type="auto"/>
            <w:tcBorders>
              <w:bottom w:val="single" w:sz="2" w:space="0" w:color="auto"/>
            </w:tcBorders>
            <w:shd w:val="clear" w:color="auto" w:fill="auto"/>
          </w:tcPr>
          <w:p w:rsidR="002F427F" w:rsidRDefault="002F427F" w:rsidP="002F427F">
            <w:pPr>
              <w:pStyle w:val="TableLeftText"/>
              <w:keepNext/>
            </w:pPr>
            <w:r>
              <w:t>Soft component of earnings = Reported earnings – Hard earnings</w:t>
            </w:r>
          </w:p>
        </w:tc>
        <w:tc>
          <w:tcPr>
            <w:tcW w:w="0" w:type="auto"/>
            <w:tcBorders>
              <w:bottom w:val="single" w:sz="2" w:space="0" w:color="auto"/>
            </w:tcBorders>
            <w:shd w:val="clear" w:color="auto" w:fill="auto"/>
          </w:tcPr>
          <w:p w:rsidR="002F427F" w:rsidRDefault="002F427F" w:rsidP="002F427F">
            <w:pPr>
              <w:pStyle w:val="TableLeftText"/>
              <w:keepNext/>
            </w:pPr>
            <w:r>
              <w:t>No</w:t>
            </w:r>
          </w:p>
        </w:tc>
      </w:tr>
    </w:tbl>
    <w:p w:rsidR="002B4603" w:rsidRDefault="000009FB" w:rsidP="002B4603">
      <w:pPr>
        <w:pStyle w:val="Heading2"/>
      </w:pPr>
      <w:r>
        <w:t>Step 2:  Comput</w:t>
      </w:r>
      <w:r w:rsidR="002B4603">
        <w:t>e Adjusted Cash Earnings (ACE)</w:t>
      </w:r>
    </w:p>
    <w:p w:rsidR="00CC7B57" w:rsidRDefault="00277D31" w:rsidP="00F52B2F">
      <w:pPr>
        <w:pStyle w:val="BodyText"/>
      </w:pPr>
      <w:r>
        <w:t xml:space="preserve">Cash earnings ignore all soft accruals. </w:t>
      </w:r>
      <w:r w:rsidR="00CC7B57" w:rsidRPr="00CC7B57">
        <w:t>This</w:t>
      </w:r>
      <w:r>
        <w:t xml:space="preserve"> is too restrictive because some </w:t>
      </w:r>
      <w:r w:rsidR="00CC7B57" w:rsidRPr="00CC7B57">
        <w:t>soft accrual</w:t>
      </w:r>
      <w:r w:rsidR="00CC7B57">
        <w:t>s</w:t>
      </w:r>
      <w:r>
        <w:t xml:space="preserve"> (e.g., growth in PP&amp;E)</w:t>
      </w:r>
      <w:r w:rsidR="00CC7B57">
        <w:t xml:space="preserve"> are inevitable</w:t>
      </w:r>
      <w:r w:rsidR="00CC7B57" w:rsidRPr="00CC7B57">
        <w:t xml:space="preserve"> when a firm grows. </w:t>
      </w:r>
      <w:r>
        <w:t xml:space="preserve">Adjusted Cash Earnings (ACE) allow for soft accruals that can be justified by sales growth. Thus, </w:t>
      </w:r>
      <w:r w:rsidR="00CC7B57">
        <w:t>ACE is defined as the sum of cash earnings and growth in soft equity driven by sales growth.</w:t>
      </w:r>
    </w:p>
    <w:p w:rsidR="00B077E5" w:rsidRDefault="007B035E" w:rsidP="00B13F23">
      <w:pPr>
        <w:pStyle w:val="BodyText"/>
        <w:numPr>
          <w:ilvl w:val="0"/>
          <w:numId w:val="46"/>
        </w:numPr>
      </w:pPr>
      <w:r w:rsidRPr="007B035E">
        <w:t>Growth in soft equity driven by sales growth</w:t>
      </w:r>
      <w:r w:rsidR="00B077E5">
        <w:t xml:space="preserve"> = Soft component of equity * sales growth.</w:t>
      </w:r>
    </w:p>
    <w:p w:rsidR="00F52B2F" w:rsidRDefault="00B077E5" w:rsidP="00B13F23">
      <w:pPr>
        <w:pStyle w:val="BodyText"/>
        <w:numPr>
          <w:ilvl w:val="0"/>
          <w:numId w:val="46"/>
        </w:numPr>
      </w:pPr>
      <w:r w:rsidRPr="000D084C">
        <w:t>Adjusted Cash Earnings (ACE)</w:t>
      </w:r>
      <w:r>
        <w:t xml:space="preserve"> = Cash earnings + </w:t>
      </w:r>
      <w:r w:rsidR="007B035E" w:rsidRPr="007B035E">
        <w:t>Growth in soft equity driven by sales growth</w:t>
      </w:r>
    </w:p>
    <w:p w:rsidR="00B077E5" w:rsidRDefault="007B035E" w:rsidP="00B077E5">
      <w:pPr>
        <w:pStyle w:val="BodyText"/>
        <w:numPr>
          <w:ilvl w:val="1"/>
          <w:numId w:val="47"/>
        </w:numPr>
      </w:pPr>
      <w:r>
        <w:t xml:space="preserve">Adjusted Cash Earnings </w:t>
      </w:r>
      <w:r w:rsidR="00705711">
        <w:t>can</w:t>
      </w:r>
      <w:r>
        <w:t xml:space="preserve"> also </w:t>
      </w:r>
      <w:r w:rsidR="00705711">
        <w:t xml:space="preserve">be </w:t>
      </w:r>
      <w:r>
        <w:t>called</w:t>
      </w:r>
      <w:r w:rsidR="00B077E5">
        <w:t xml:space="preserve"> </w:t>
      </w:r>
      <w:r w:rsidR="00B077E5" w:rsidRPr="000D084C">
        <w:t>Growth-adjusted Hard Earnings</w:t>
      </w:r>
      <w:r>
        <w:t>.</w:t>
      </w:r>
    </w:p>
    <w:p w:rsidR="00064BA0" w:rsidRDefault="00EC6F5A" w:rsidP="00001351">
      <w:pPr>
        <w:pStyle w:val="BodyText"/>
        <w:numPr>
          <w:ilvl w:val="1"/>
          <w:numId w:val="47"/>
        </w:numPr>
      </w:pPr>
      <w:r>
        <w:t>As mentioned earlier, t</w:t>
      </w:r>
      <w:r w:rsidR="00ED30D4">
        <w:t>h</w:t>
      </w:r>
      <w:r w:rsidR="00F52B2F">
        <w:t xml:space="preserve">e difference between reported earnings and adjusted cash earnings (ACE) </w:t>
      </w:r>
      <w:r>
        <w:t xml:space="preserve">arises from biases in soft accruals and </w:t>
      </w:r>
      <w:r w:rsidR="00F52B2F">
        <w:t>measures the subjective judgment in reported earnings.</w:t>
      </w:r>
      <w:r w:rsidR="006151C0">
        <w:t xml:space="preserve"> T</w:t>
      </w:r>
      <w:r w:rsidR="00F52B2F">
        <w:t xml:space="preserve">his difference </w:t>
      </w:r>
      <w:r w:rsidR="006151C0">
        <w:t>is</w:t>
      </w:r>
      <w:r w:rsidR="00F52B2F">
        <w:t xml:space="preserve"> the first-cut estimate of the potential bias in reported earnings.</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1E0" w:firstRow="1" w:lastRow="1" w:firstColumn="1" w:lastColumn="1" w:noHBand="0" w:noVBand="0"/>
      </w:tblPr>
      <w:tblGrid>
        <w:gridCol w:w="9446"/>
      </w:tblGrid>
      <w:tr w:rsidR="00015CC7" w:rsidTr="002858DE">
        <w:trPr>
          <w:cantSplit/>
        </w:trPr>
        <w:tc>
          <w:tcPr>
            <w:tcW w:w="0" w:type="auto"/>
            <w:tcBorders>
              <w:bottom w:val="single" w:sz="2" w:space="0" w:color="auto"/>
            </w:tcBorders>
            <w:shd w:val="clear" w:color="auto" w:fill="CCECFF"/>
          </w:tcPr>
          <w:p w:rsidR="00015CC7" w:rsidRPr="004E4698" w:rsidRDefault="00015CC7" w:rsidP="002F427F">
            <w:pPr>
              <w:pStyle w:val="TableLeftText"/>
              <w:keepNext/>
              <w:rPr>
                <w:b/>
              </w:rPr>
            </w:pPr>
            <w:r>
              <w:rPr>
                <w:b/>
              </w:rPr>
              <w:t>Summary</w:t>
            </w:r>
          </w:p>
        </w:tc>
      </w:tr>
      <w:tr w:rsidR="00015CC7" w:rsidTr="00206D5E">
        <w:trPr>
          <w:cantSplit/>
        </w:trPr>
        <w:tc>
          <w:tcPr>
            <w:tcW w:w="0" w:type="auto"/>
            <w:tcBorders>
              <w:bottom w:val="single" w:sz="2" w:space="0" w:color="auto"/>
            </w:tcBorders>
            <w:shd w:val="clear" w:color="auto" w:fill="auto"/>
          </w:tcPr>
          <w:p w:rsidR="00015CC7" w:rsidRDefault="00250D32" w:rsidP="002F427F">
            <w:pPr>
              <w:pStyle w:val="TableLeftText"/>
              <w:keepNext/>
            </w:pPr>
            <w:r>
              <w:t>Reported cash flows: No accruals</w:t>
            </w:r>
          </w:p>
        </w:tc>
      </w:tr>
      <w:tr w:rsidR="00015CC7" w:rsidTr="00206D5E">
        <w:trPr>
          <w:cantSplit/>
        </w:trPr>
        <w:tc>
          <w:tcPr>
            <w:tcW w:w="0" w:type="auto"/>
            <w:tcBorders>
              <w:bottom w:val="single" w:sz="2" w:space="0" w:color="auto"/>
            </w:tcBorders>
            <w:shd w:val="clear" w:color="auto" w:fill="E6E6E6"/>
          </w:tcPr>
          <w:p w:rsidR="00015CC7" w:rsidRDefault="00015CC7" w:rsidP="002F427F">
            <w:pPr>
              <w:pStyle w:val="6pointSpacer"/>
              <w:keepNext/>
            </w:pPr>
          </w:p>
        </w:tc>
      </w:tr>
      <w:tr w:rsidR="00015CC7" w:rsidTr="002858DE">
        <w:trPr>
          <w:cantSplit/>
        </w:trPr>
        <w:tc>
          <w:tcPr>
            <w:tcW w:w="0" w:type="auto"/>
            <w:tcBorders>
              <w:bottom w:val="single" w:sz="2" w:space="0" w:color="auto"/>
            </w:tcBorders>
          </w:tcPr>
          <w:p w:rsidR="00015CC7" w:rsidRDefault="00250D32" w:rsidP="002F427F">
            <w:pPr>
              <w:pStyle w:val="TableLeftText"/>
              <w:keepNext/>
            </w:pPr>
            <w:r>
              <w:t>Step 1: Cash earnings = Change in hard equity + Net dividends = Cash flows + Changes in hard accruals</w:t>
            </w:r>
          </w:p>
        </w:tc>
      </w:tr>
      <w:tr w:rsidR="00015CC7" w:rsidTr="00206D5E">
        <w:trPr>
          <w:cantSplit/>
        </w:trPr>
        <w:tc>
          <w:tcPr>
            <w:tcW w:w="0" w:type="auto"/>
            <w:tcBorders>
              <w:bottom w:val="single" w:sz="2" w:space="0" w:color="auto"/>
            </w:tcBorders>
            <w:shd w:val="clear" w:color="auto" w:fill="auto"/>
          </w:tcPr>
          <w:p w:rsidR="00015CC7" w:rsidRDefault="00250D32" w:rsidP="002F427F">
            <w:pPr>
              <w:pStyle w:val="TableLeftText"/>
              <w:keepNext/>
            </w:pPr>
            <w:r>
              <w:t xml:space="preserve">Step 2: </w:t>
            </w:r>
            <w:r w:rsidRPr="00455362">
              <w:rPr>
                <w:rStyle w:val="Emphasize"/>
              </w:rPr>
              <w:t>Adjusted cash earnings</w:t>
            </w:r>
            <w:r>
              <w:t xml:space="preserve"> = Cash earnings + Growth-justified change in soft accruals</w:t>
            </w:r>
          </w:p>
        </w:tc>
      </w:tr>
      <w:tr w:rsidR="00015CC7" w:rsidTr="00206D5E">
        <w:trPr>
          <w:cantSplit/>
          <w:trHeight w:val="103"/>
        </w:trPr>
        <w:tc>
          <w:tcPr>
            <w:tcW w:w="0" w:type="auto"/>
            <w:shd w:val="clear" w:color="auto" w:fill="E6E6E6"/>
          </w:tcPr>
          <w:p w:rsidR="00015CC7" w:rsidRDefault="00015CC7" w:rsidP="002F427F">
            <w:pPr>
              <w:pStyle w:val="6pointSpacer"/>
              <w:keepNext/>
            </w:pPr>
          </w:p>
        </w:tc>
      </w:tr>
      <w:tr w:rsidR="00015CC7" w:rsidTr="002858DE">
        <w:trPr>
          <w:cantSplit/>
        </w:trPr>
        <w:tc>
          <w:tcPr>
            <w:tcW w:w="0" w:type="auto"/>
            <w:shd w:val="clear" w:color="auto" w:fill="auto"/>
          </w:tcPr>
          <w:p w:rsidR="00015CC7" w:rsidRDefault="00250D32" w:rsidP="002858DE">
            <w:pPr>
              <w:pStyle w:val="TableLeftText"/>
            </w:pPr>
            <w:r>
              <w:t>Reported earnings: All accruals [Hard and soft]</w:t>
            </w:r>
          </w:p>
        </w:tc>
      </w:tr>
    </w:tbl>
    <w:p w:rsidR="00015CC7" w:rsidRDefault="00015CC7" w:rsidP="00064BA0"/>
    <w:p w:rsidR="00064BA0" w:rsidRDefault="00064BA0" w:rsidP="00064BA0">
      <w:r>
        <w:t>In sum, the spreadsheet allows for the measurement of the difference between a GAAP “soft” actual accrual and estimates of what the “accrual ought to be</w:t>
      </w:r>
      <w:r w:rsidR="00CF711E">
        <w:t>.”</w:t>
      </w:r>
      <w:r>
        <w:t xml:space="preserve"> The larger this difference, the lower the earnings quality, and the lower the forecasted future profit margin.</w:t>
      </w:r>
    </w:p>
    <w:p w:rsidR="009300CC" w:rsidRDefault="009300CC" w:rsidP="00AA0EE5">
      <w:pPr>
        <w:pStyle w:val="Heading1"/>
      </w:pPr>
      <w:r>
        <w:t>Metrics</w:t>
      </w:r>
      <w:r w:rsidR="00BE37CA">
        <w:t xml:space="preserve"> and their interpretation</w:t>
      </w:r>
    </w:p>
    <w:p w:rsidR="00BE37CA" w:rsidRDefault="00BE37CA" w:rsidP="00BE37CA">
      <w:pPr>
        <w:pStyle w:val="Heading2"/>
      </w:pPr>
      <w:r>
        <w:t>Income statement</w:t>
      </w:r>
    </w:p>
    <w:p w:rsidR="00E460CA" w:rsidRDefault="005D39C5" w:rsidP="00E460CA">
      <w:pPr>
        <w:pStyle w:val="BodyText"/>
      </w:pPr>
      <w:r>
        <w:t xml:space="preserve">The difference between reported earnings and ACE measures the potential bias in earnings. </w:t>
      </w:r>
      <w:r w:rsidR="00744497">
        <w:t>This bias is then scaled by sales or reported earnings.</w:t>
      </w:r>
      <w:r w:rsidR="00E460CA">
        <w:t xml:space="preserve"> The ratio of soft earnings to hard earnings can rise due to two reasons:</w:t>
      </w:r>
    </w:p>
    <w:p w:rsidR="00E460CA" w:rsidRDefault="00E460CA" w:rsidP="00E460CA">
      <w:pPr>
        <w:pStyle w:val="BodyText"/>
        <w:numPr>
          <w:ilvl w:val="0"/>
          <w:numId w:val="49"/>
        </w:numPr>
      </w:pPr>
      <w:r>
        <w:t xml:space="preserve">There was no manipulation in the past but this year we are creating abnormally high soft accruals. If hard earnings represent reality, but we use reported earnings as a proxy for hard earnings, we will overestimate future hard earnings if we extrapolate today’s reported earnings. When the future arrives, we will find that future hard earnings are less than what we forecasted. If soft accruals reverse at that time, then reported earnings will drop even more than the drop in hard earnings. </w:t>
      </w:r>
    </w:p>
    <w:p w:rsidR="00E460CA" w:rsidRDefault="00E460CA" w:rsidP="00E460CA">
      <w:pPr>
        <w:pStyle w:val="BodyText"/>
        <w:numPr>
          <w:ilvl w:val="0"/>
          <w:numId w:val="49"/>
        </w:numPr>
      </w:pPr>
      <w:r>
        <w:t>Last year, we unwound the high soft accruals from years before the last year. This led to unusually low soft earnings last year. We have now returned to the normal proportion of soft earnings to hard earnings this period. This deflated reported earnings last year and has normalized reported earnings this year and has led to a spurious growth the reported earnings. We should not extrapolate this growth into the future.</w:t>
      </w:r>
    </w:p>
    <w:p w:rsidR="00BE37CA" w:rsidRDefault="00BE37CA" w:rsidP="00BE37CA">
      <w:pPr>
        <w:pStyle w:val="Heading2"/>
      </w:pPr>
      <w:r>
        <w:t>Balance sheet</w:t>
      </w:r>
    </w:p>
    <w:p w:rsidR="00AE73FC" w:rsidRDefault="00AE73FC" w:rsidP="00CF711E">
      <w:pPr>
        <w:pStyle w:val="BodyText"/>
      </w:pPr>
      <w:r w:rsidRPr="00AE73FC">
        <w:t>The measurement of soft equity over time sets the stage for asking whether the profit margin in the future is likely to improve. One can consider the trend in the ratio soft equity/sales to evaluate this issue. A declining trend over time suggests that the “embedded” future expenses are relatively low to sales; it suggests that, probabilistically, margins will increase.</w:t>
      </w:r>
    </w:p>
    <w:p w:rsidR="0087181D" w:rsidRDefault="006F369C" w:rsidP="00AA0EE5">
      <w:pPr>
        <w:pStyle w:val="Heading1"/>
      </w:pPr>
      <w:r>
        <w:t xml:space="preserve">Why ACE </w:t>
      </w:r>
      <w:r w:rsidR="004845B5">
        <w:t xml:space="preserve">is </w:t>
      </w:r>
      <w:r>
        <w:t>better than cash flows</w:t>
      </w:r>
    </w:p>
    <w:p w:rsidR="003F0C33" w:rsidRDefault="00FC2D83" w:rsidP="00FC2D83">
      <w:pPr>
        <w:pStyle w:val="BodyText"/>
      </w:pPr>
      <w:r>
        <w:t>Three problems arise if cash flows are used to assess earnings biases. The first two relate to the problems inherent in the</w:t>
      </w:r>
      <w:r w:rsidR="00B230A8">
        <w:t xml:space="preserve"> cash flow </w:t>
      </w:r>
      <w:r>
        <w:t>statement. The third one deals with the fact that a summary d</w:t>
      </w:r>
      <w:r w:rsidR="00705711">
        <w:t>ismissal of all accruals is overly restrictive</w:t>
      </w:r>
      <w:r>
        <w:t>.</w:t>
      </w:r>
    </w:p>
    <w:p w:rsidR="006F369C" w:rsidRDefault="00BA3E1B" w:rsidP="006F369C">
      <w:pPr>
        <w:pStyle w:val="BodyText"/>
        <w:numPr>
          <w:ilvl w:val="0"/>
          <w:numId w:val="45"/>
        </w:numPr>
      </w:pPr>
      <w:r>
        <w:t>Cash flow</w:t>
      </w:r>
      <w:r w:rsidR="00D60E3E">
        <w:t>s</w:t>
      </w:r>
      <w:r>
        <w:t xml:space="preserve"> omit the effect of significant non-cash events</w:t>
      </w:r>
      <w:r w:rsidR="006F369C">
        <w:t xml:space="preserve">. </w:t>
      </w:r>
      <w:r w:rsidR="00B230A8" w:rsidRPr="00B230A8">
        <w:t xml:space="preserve">The </w:t>
      </w:r>
      <w:r w:rsidR="00B230A8">
        <w:t xml:space="preserve">cash flow </w:t>
      </w:r>
      <w:r w:rsidR="00B230A8" w:rsidRPr="00B230A8">
        <w:t xml:space="preserve">statement </w:t>
      </w:r>
      <w:r w:rsidR="009C2F2F">
        <w:t xml:space="preserve">omits </w:t>
      </w:r>
      <w:r w:rsidR="009C2F2F" w:rsidRPr="00B230A8">
        <w:t xml:space="preserve">non-cash </w:t>
      </w:r>
      <w:r w:rsidR="00C33CCB" w:rsidRPr="00B230A8">
        <w:t>exchanges</w:t>
      </w:r>
      <w:r w:rsidR="00B230A8" w:rsidRPr="00B230A8">
        <w:t xml:space="preserve">. </w:t>
      </w:r>
      <w:r w:rsidR="00B230A8">
        <w:t xml:space="preserve">Examples are </w:t>
      </w:r>
      <w:r w:rsidR="00D60E3E">
        <w:t xml:space="preserve">initial acquisition of assets under capital leases, acquisitions of companies for stock, and non-cash </w:t>
      </w:r>
      <w:r w:rsidR="00B230A8">
        <w:t>compensation</w:t>
      </w:r>
      <w:r w:rsidR="00D60E3E">
        <w:t xml:space="preserve"> such as stock options.</w:t>
      </w:r>
    </w:p>
    <w:p w:rsidR="006F369C" w:rsidRDefault="0088422B" w:rsidP="00335736">
      <w:pPr>
        <w:pStyle w:val="BodyText"/>
        <w:numPr>
          <w:ilvl w:val="1"/>
          <w:numId w:val="45"/>
        </w:numPr>
      </w:pPr>
      <w:r>
        <w:t>Our r</w:t>
      </w:r>
      <w:r w:rsidR="00B258A8">
        <w:t>emedy</w:t>
      </w:r>
      <w:r w:rsidR="00BA3E1B">
        <w:t xml:space="preserve">: </w:t>
      </w:r>
      <w:r w:rsidR="00021B07">
        <w:t>ACE relies on</w:t>
      </w:r>
      <w:r w:rsidR="0036670A">
        <w:t xml:space="preserve"> </w:t>
      </w:r>
      <w:r w:rsidR="00B258A8" w:rsidRPr="00B258A8">
        <w:t xml:space="preserve">changes in </w:t>
      </w:r>
      <w:r w:rsidR="00B258A8">
        <w:t>b</w:t>
      </w:r>
      <w:r w:rsidR="006F369C">
        <w:t>alance sheet</w:t>
      </w:r>
      <w:r w:rsidR="00021B07">
        <w:t xml:space="preserve"> accounts thereby incorporating </w:t>
      </w:r>
      <w:r w:rsidR="0036670A">
        <w:t xml:space="preserve">cash </w:t>
      </w:r>
      <w:r w:rsidR="00AB1343">
        <w:t xml:space="preserve">transactions </w:t>
      </w:r>
      <w:r w:rsidR="0036670A">
        <w:t>as well as non-cash transactions.</w:t>
      </w:r>
      <w:r w:rsidR="006F369C">
        <w:t xml:space="preserve"> </w:t>
      </w:r>
    </w:p>
    <w:p w:rsidR="006F369C" w:rsidRDefault="003F0C33" w:rsidP="006F369C">
      <w:pPr>
        <w:pStyle w:val="BodyText"/>
        <w:numPr>
          <w:ilvl w:val="0"/>
          <w:numId w:val="45"/>
        </w:numPr>
      </w:pPr>
      <w:r>
        <w:t xml:space="preserve">Cash is not the only objectively measurable </w:t>
      </w:r>
      <w:r w:rsidR="004C7265">
        <w:t xml:space="preserve">item or </w:t>
      </w:r>
      <w:r w:rsidR="00BA3E1B">
        <w:t xml:space="preserve">“hard” </w:t>
      </w:r>
      <w:r>
        <w:t>item</w:t>
      </w:r>
      <w:r w:rsidR="002840B6">
        <w:t>.</w:t>
      </w:r>
      <w:r w:rsidR="006F369C">
        <w:t xml:space="preserve"> </w:t>
      </w:r>
      <w:r w:rsidR="003D30C1">
        <w:t xml:space="preserve">The cash flow statement </w:t>
      </w:r>
      <w:r w:rsidR="009C2F2F">
        <w:t>explains</w:t>
      </w:r>
      <w:r w:rsidR="003D30C1">
        <w:t xml:space="preserve"> changes in cash and cash equivalents. However, many more balance sheet items are objectively measurable. For example, most f</w:t>
      </w:r>
      <w:r w:rsidR="003D30C1" w:rsidRPr="003D30C1">
        <w:t xml:space="preserve">inancial assets and </w:t>
      </w:r>
      <w:r w:rsidR="003D30C1">
        <w:t xml:space="preserve">financial </w:t>
      </w:r>
      <w:r w:rsidR="003D30C1" w:rsidRPr="003D30C1">
        <w:t xml:space="preserve">liabilities </w:t>
      </w:r>
      <w:r w:rsidR="003D30C1">
        <w:t xml:space="preserve">are objectively measurable. </w:t>
      </w:r>
      <w:r w:rsidR="00ED4774">
        <w:t xml:space="preserve">In addition, </w:t>
      </w:r>
      <w:r w:rsidR="003D30C1" w:rsidRPr="003D30C1">
        <w:t xml:space="preserve">some non-financial assets/liabilities are no less “hard” than cash, and thus equally </w:t>
      </w:r>
      <w:r w:rsidR="009C2F2F">
        <w:t>measurable. H</w:t>
      </w:r>
      <w:r w:rsidR="003D30C1" w:rsidRPr="003D30C1">
        <w:t>igh quality receiv</w:t>
      </w:r>
      <w:r w:rsidR="00ED4774">
        <w:t xml:space="preserve">ables fall into this category. </w:t>
      </w:r>
      <w:r w:rsidR="003D30C1" w:rsidRPr="003D30C1">
        <w:t>These receivables can thus b</w:t>
      </w:r>
      <w:r w:rsidR="009C2F2F">
        <w:t xml:space="preserve">e said to be “as good as cash” </w:t>
      </w:r>
      <w:r w:rsidR="003D30C1" w:rsidRPr="003D30C1">
        <w:t xml:space="preserve">though they are treated as accruals in </w:t>
      </w:r>
      <w:r w:rsidR="00ED4774">
        <w:t>the cash flow statement</w:t>
      </w:r>
      <w:r w:rsidR="003D30C1" w:rsidRPr="003D30C1">
        <w:t xml:space="preserve">. The same </w:t>
      </w:r>
      <w:r w:rsidR="00ED4774">
        <w:t>holds for</w:t>
      </w:r>
      <w:r w:rsidR="003D30C1" w:rsidRPr="003D30C1">
        <w:t xml:space="preserve"> many accounts </w:t>
      </w:r>
      <w:r w:rsidR="00ED4774" w:rsidRPr="003D30C1">
        <w:t>payable,</w:t>
      </w:r>
      <w:r w:rsidR="00ED4774">
        <w:t xml:space="preserve"> as they </w:t>
      </w:r>
      <w:r w:rsidR="003D30C1" w:rsidRPr="003D30C1">
        <w:t>are no less “hard” than loans from financial institutions.</w:t>
      </w:r>
    </w:p>
    <w:p w:rsidR="006F369C" w:rsidRDefault="0088422B" w:rsidP="00335736">
      <w:pPr>
        <w:pStyle w:val="BodyText"/>
        <w:numPr>
          <w:ilvl w:val="1"/>
          <w:numId w:val="45"/>
        </w:numPr>
      </w:pPr>
      <w:r>
        <w:t>Our r</w:t>
      </w:r>
      <w:r w:rsidR="00DC27CB">
        <w:t>emedy</w:t>
      </w:r>
      <w:r w:rsidR="00BA3E1B">
        <w:t xml:space="preserve">: </w:t>
      </w:r>
      <w:r w:rsidR="00F540AB">
        <w:t>ACE</w:t>
      </w:r>
      <w:r w:rsidR="00A4147E">
        <w:t xml:space="preserve"> </w:t>
      </w:r>
      <w:r w:rsidR="00BB0348">
        <w:t>incorporat</w:t>
      </w:r>
      <w:r w:rsidR="0036670A">
        <w:t>es</w:t>
      </w:r>
      <w:r w:rsidR="00BA3E1B">
        <w:t xml:space="preserve"> </w:t>
      </w:r>
      <w:r w:rsidR="00AE19C8">
        <w:t xml:space="preserve">changes in </w:t>
      </w:r>
      <w:r w:rsidR="00BA3E1B">
        <w:t xml:space="preserve">all </w:t>
      </w:r>
      <w:r w:rsidR="00A4147E">
        <w:t xml:space="preserve">hard </w:t>
      </w:r>
      <w:r w:rsidR="00DC27CB">
        <w:t xml:space="preserve">assets and </w:t>
      </w:r>
      <w:r w:rsidR="00A4147E">
        <w:t>hard liabilities</w:t>
      </w:r>
      <w:r w:rsidR="00AB1343">
        <w:t>, not just cash.</w:t>
      </w:r>
    </w:p>
    <w:p w:rsidR="006F369C" w:rsidRDefault="003F0C33" w:rsidP="006F369C">
      <w:pPr>
        <w:pStyle w:val="BodyText"/>
        <w:numPr>
          <w:ilvl w:val="0"/>
          <w:numId w:val="45"/>
        </w:numPr>
      </w:pPr>
      <w:r>
        <w:t>Cash flows are biased performance measures for growing firms</w:t>
      </w:r>
      <w:r w:rsidR="006151C0">
        <w:t>.</w:t>
      </w:r>
      <w:r w:rsidR="006F369C">
        <w:t xml:space="preserve"> </w:t>
      </w:r>
      <w:r w:rsidR="00A0136B">
        <w:t xml:space="preserve">Firms buy </w:t>
      </w:r>
      <w:r>
        <w:t>inventories and PP&amp;E</w:t>
      </w:r>
      <w:r w:rsidR="00A0136B">
        <w:t xml:space="preserve"> before these inventories and PP&amp;E generate cash receipts from customers.</w:t>
      </w:r>
      <w:r w:rsidR="00391E38">
        <w:t xml:space="preserve"> If firms are not growing, then this mismatch between expenditures and receipts does not hurt cash flows because current receipts resulting from prior expenditures are offset by current expenditures. When firms are growing, then this mismatch makes cash flows a biased performance measure because the current receipts are low relative to current expenditures.</w:t>
      </w:r>
      <w:r w:rsidR="001B5D65">
        <w:t xml:space="preserve"> </w:t>
      </w:r>
      <w:r w:rsidR="003A7B6F">
        <w:t xml:space="preserve">In general, one should expect growth in accruals such as inventories and PP&amp;E for growing firms. </w:t>
      </w:r>
      <w:r w:rsidR="001B5D65">
        <w:t xml:space="preserve">Thus, cash earnings that strip out all changes in accruals </w:t>
      </w:r>
      <w:r w:rsidR="003A7B6F">
        <w:t xml:space="preserve">are a </w:t>
      </w:r>
      <w:r w:rsidR="00B6754D">
        <w:t>bias</w:t>
      </w:r>
      <w:r w:rsidR="003A7B6F">
        <w:t>ed performance measure for</w:t>
      </w:r>
      <w:r w:rsidR="001B5D65">
        <w:t xml:space="preserve"> growing firms.</w:t>
      </w:r>
    </w:p>
    <w:p w:rsidR="006F369C" w:rsidRDefault="0088422B" w:rsidP="00F17182">
      <w:pPr>
        <w:pStyle w:val="BodyText"/>
        <w:numPr>
          <w:ilvl w:val="1"/>
          <w:numId w:val="45"/>
        </w:numPr>
      </w:pPr>
      <w:r>
        <w:t>Our remedy</w:t>
      </w:r>
      <w:r w:rsidR="00A0136B">
        <w:t xml:space="preserve">: </w:t>
      </w:r>
      <w:r w:rsidR="00AE19C8">
        <w:t>A</w:t>
      </w:r>
      <w:r w:rsidR="00021B07">
        <w:t xml:space="preserve">CE adjusts for </w:t>
      </w:r>
      <w:r w:rsidR="000E5C46">
        <w:t>justifiable</w:t>
      </w:r>
      <w:r w:rsidR="00021B07">
        <w:t xml:space="preserve"> growth in soft accruals.</w:t>
      </w:r>
    </w:p>
    <w:p w:rsidR="00670E80" w:rsidRDefault="00DC5E55" w:rsidP="00DC5E55">
      <w:pPr>
        <w:pStyle w:val="Heading1"/>
      </w:pPr>
      <w:r>
        <w:rPr>
          <w:rFonts w:cs="Arial"/>
        </w:rPr>
        <w:t>Advanced: A</w:t>
      </w:r>
      <w:r w:rsidRPr="00DC5E55">
        <w:t xml:space="preserve"> detailed income statement for cash earnings</w:t>
      </w:r>
    </w:p>
    <w:p w:rsidR="00A222C2" w:rsidRDefault="006E3766" w:rsidP="00CF7298">
      <w:pPr>
        <w:pStyle w:val="BodyText"/>
      </w:pPr>
      <w:r>
        <w:t xml:space="preserve">The final part provides </w:t>
      </w:r>
      <w:r w:rsidR="00AC3EE5">
        <w:t xml:space="preserve">the hard income statement, which </w:t>
      </w:r>
      <w:r>
        <w:t xml:space="preserve">strips out the </w:t>
      </w:r>
      <w:r w:rsidR="00FE1908">
        <w:t>subjectivity of s</w:t>
      </w:r>
      <w:r w:rsidR="00B61359" w:rsidRPr="00B61359">
        <w:t>oft accruals</w:t>
      </w:r>
      <w:r>
        <w:t xml:space="preserve">. </w:t>
      </w:r>
      <w:r w:rsidR="00AC3EE5">
        <w:t>The</w:t>
      </w:r>
      <w:r>
        <w:t xml:space="preserve">  statement splits enterprise expenses into two parts: (i) h</w:t>
      </w:r>
      <w:r w:rsidRPr="006E3766">
        <w:t>ard enterprise expenses with no future benefits [includes tax expense]</w:t>
      </w:r>
      <w:r>
        <w:t xml:space="preserve"> and (ii) i</w:t>
      </w:r>
      <w:r w:rsidRPr="006E3766">
        <w:t>nvestment expenditures</w:t>
      </w:r>
      <w:r w:rsidR="00057387">
        <w:t xml:space="preserve"> such as capi</w:t>
      </w:r>
      <w:r w:rsidR="00057387" w:rsidRPr="00B61359">
        <w:t>tal expenditures, R&amp;D, and the acquisition of subsidiaries</w:t>
      </w:r>
      <w:r w:rsidR="00057387">
        <w:t>. This bifurcation yields two enterprise profit subtotals: (i) h</w:t>
      </w:r>
      <w:r w:rsidR="00057387" w:rsidRPr="00057387">
        <w:t>ard enterprise income before investment expenditures</w:t>
      </w:r>
      <w:r w:rsidR="00057387">
        <w:t xml:space="preserve"> and (ii) hard enterprise income that deducts investment expenditures from the first subtotal. The key </w:t>
      </w:r>
      <w:r w:rsidR="0050276E">
        <w:t>margin</w:t>
      </w:r>
      <w:r w:rsidR="00057387">
        <w:t xml:space="preserve"> is the ratio of hard enterprise income before investment expenditures to sales. </w:t>
      </w:r>
      <w:r w:rsidR="00047F28">
        <w:t>The hard</w:t>
      </w:r>
      <w:r w:rsidR="00020F28">
        <w:t xml:space="preserve"> margin is not biased by creation or reversal of soft accruals or biases due to </w:t>
      </w:r>
      <w:r w:rsidR="00A6758E">
        <w:t>changes in accounting conservati</w:t>
      </w:r>
      <w:r w:rsidR="008751EB">
        <w:t>sm</w:t>
      </w:r>
      <w:r w:rsidR="004A3FBF">
        <w:t>.</w:t>
      </w:r>
      <w:r w:rsidR="00141450">
        <w:t xml:space="preserve"> </w:t>
      </w:r>
      <w:r w:rsidR="001523BD">
        <w:t>When the trend in hard margins differs from the trend in reported margins, the former is a better predi</w:t>
      </w:r>
      <w:r w:rsidR="00140EB0">
        <w:t>ctor of future reported margins because of the reversals in soft accruals.</w:t>
      </w: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4A0" w:firstRow="1" w:lastRow="0" w:firstColumn="1" w:lastColumn="0" w:noHBand="0" w:noVBand="1"/>
      </w:tblPr>
      <w:tblGrid>
        <w:gridCol w:w="2175"/>
        <w:gridCol w:w="3800"/>
        <w:gridCol w:w="3568"/>
      </w:tblGrid>
      <w:tr w:rsidR="00A222C2" w:rsidTr="00A222C2">
        <w:trPr>
          <w:cantSplit/>
        </w:trPr>
        <w:tc>
          <w:tcPr>
            <w:tcW w:w="0" w:type="auto"/>
            <w:tcBorders>
              <w:bottom w:val="single" w:sz="2" w:space="0" w:color="auto"/>
            </w:tcBorders>
            <w:shd w:val="clear" w:color="auto" w:fill="auto"/>
          </w:tcPr>
          <w:p w:rsidR="00A222C2" w:rsidRDefault="00A222C2" w:rsidP="00A222C2">
            <w:pPr>
              <w:pStyle w:val="TableLeftText"/>
              <w:keepNext/>
            </w:pPr>
          </w:p>
        </w:tc>
        <w:tc>
          <w:tcPr>
            <w:tcW w:w="0" w:type="auto"/>
            <w:tcBorders>
              <w:bottom w:val="single" w:sz="2" w:space="0" w:color="auto"/>
            </w:tcBorders>
            <w:shd w:val="clear" w:color="auto" w:fill="CCECFF"/>
          </w:tcPr>
          <w:p w:rsidR="00A222C2" w:rsidRDefault="00A222C2" w:rsidP="00A222C2">
            <w:pPr>
              <w:pStyle w:val="TableLeftText"/>
              <w:keepNext/>
            </w:pPr>
            <w:r>
              <w:t>Reported margin is rising</w:t>
            </w:r>
          </w:p>
        </w:tc>
        <w:tc>
          <w:tcPr>
            <w:tcW w:w="0" w:type="auto"/>
            <w:tcBorders>
              <w:bottom w:val="single" w:sz="2" w:space="0" w:color="auto"/>
            </w:tcBorders>
            <w:shd w:val="clear" w:color="auto" w:fill="CCECFF"/>
          </w:tcPr>
          <w:p w:rsidR="00A222C2" w:rsidRDefault="00A222C2" w:rsidP="00A222C2">
            <w:pPr>
              <w:pStyle w:val="TableLeftText"/>
              <w:keepNext/>
            </w:pPr>
            <w:r>
              <w:t>Reported margin is falling</w:t>
            </w:r>
          </w:p>
        </w:tc>
      </w:tr>
      <w:tr w:rsidR="00A222C2" w:rsidTr="00A222C2">
        <w:trPr>
          <w:cantSplit/>
        </w:trPr>
        <w:tc>
          <w:tcPr>
            <w:tcW w:w="0" w:type="auto"/>
            <w:tcBorders>
              <w:bottom w:val="single" w:sz="2" w:space="0" w:color="auto"/>
            </w:tcBorders>
            <w:shd w:val="clear" w:color="auto" w:fill="E6E6E6"/>
          </w:tcPr>
          <w:p w:rsidR="00A222C2" w:rsidRDefault="00A222C2" w:rsidP="00A222C2">
            <w:pPr>
              <w:pStyle w:val="TableLeftText"/>
              <w:keepNext/>
            </w:pPr>
            <w:r>
              <w:t>Hard margin is rising</w:t>
            </w:r>
          </w:p>
        </w:tc>
        <w:tc>
          <w:tcPr>
            <w:tcW w:w="0" w:type="auto"/>
            <w:tcBorders>
              <w:bottom w:val="single" w:sz="2" w:space="0" w:color="auto"/>
            </w:tcBorders>
            <w:shd w:val="clear" w:color="auto" w:fill="auto"/>
          </w:tcPr>
          <w:p w:rsidR="00A222C2" w:rsidRDefault="00A222C2" w:rsidP="00A222C2">
            <w:pPr>
              <w:pStyle w:val="TableLeftText"/>
              <w:keepNext/>
            </w:pPr>
          </w:p>
        </w:tc>
        <w:tc>
          <w:tcPr>
            <w:tcW w:w="0" w:type="auto"/>
            <w:tcBorders>
              <w:bottom w:val="single" w:sz="2" w:space="0" w:color="auto"/>
            </w:tcBorders>
            <w:shd w:val="clear" w:color="auto" w:fill="auto"/>
          </w:tcPr>
          <w:p w:rsidR="00A222C2" w:rsidRDefault="00A222C2" w:rsidP="00A222C2">
            <w:pPr>
              <w:pStyle w:val="TableLeftText"/>
              <w:keepNext/>
            </w:pPr>
            <w:r>
              <w:t>Expect rise in future reported margins</w:t>
            </w:r>
          </w:p>
        </w:tc>
      </w:tr>
      <w:tr w:rsidR="00A222C2" w:rsidTr="00A222C2">
        <w:trPr>
          <w:cantSplit/>
        </w:trPr>
        <w:tc>
          <w:tcPr>
            <w:tcW w:w="0" w:type="auto"/>
            <w:shd w:val="clear" w:color="auto" w:fill="E6E6E6"/>
          </w:tcPr>
          <w:p w:rsidR="00A222C2" w:rsidRDefault="00A222C2" w:rsidP="00A222C2">
            <w:pPr>
              <w:pStyle w:val="TableLeftText"/>
            </w:pPr>
            <w:r>
              <w:t>Hard margin is falling</w:t>
            </w:r>
          </w:p>
        </w:tc>
        <w:tc>
          <w:tcPr>
            <w:tcW w:w="0" w:type="auto"/>
            <w:shd w:val="clear" w:color="auto" w:fill="auto"/>
          </w:tcPr>
          <w:p w:rsidR="00A222C2" w:rsidRDefault="00A222C2" w:rsidP="00A222C2">
            <w:pPr>
              <w:pStyle w:val="TableLeftText"/>
            </w:pPr>
            <w:r>
              <w:t>Expect decline in future reported margin</w:t>
            </w:r>
          </w:p>
        </w:tc>
        <w:tc>
          <w:tcPr>
            <w:tcW w:w="0" w:type="auto"/>
            <w:shd w:val="clear" w:color="auto" w:fill="auto"/>
          </w:tcPr>
          <w:p w:rsidR="00A222C2" w:rsidRDefault="00A222C2" w:rsidP="00A222C2">
            <w:pPr>
              <w:pStyle w:val="TableLeftText"/>
            </w:pPr>
          </w:p>
        </w:tc>
      </w:tr>
    </w:tbl>
    <w:p w:rsidR="00E9250D" w:rsidRDefault="001916FD" w:rsidP="00E9250D">
      <w:pPr>
        <w:pStyle w:val="Heading1"/>
      </w:pPr>
      <w:r>
        <w:t xml:space="preserve">Optional: </w:t>
      </w:r>
      <w:r w:rsidR="00E9250D">
        <w:t>Alternate views of ACE (not in the spreadsheet)</w:t>
      </w:r>
    </w:p>
    <w:p w:rsidR="00E9250D" w:rsidRDefault="00E9250D" w:rsidP="00E9250D">
      <w:pPr>
        <w:pStyle w:val="BodyText"/>
      </w:pPr>
      <w:r>
        <w:t>Although not shown in the spreadsheet, one can understand the derivation of ACE in two ways shown below: [</w:t>
      </w:r>
      <w:r w:rsidRPr="00B65DF1">
        <w:t>Note: The table</w:t>
      </w:r>
      <w:r>
        <w:t>s</w:t>
      </w:r>
      <w:r w:rsidRPr="00B65DF1">
        <w:t xml:space="preserve"> </w:t>
      </w:r>
      <w:r>
        <w:t>below</w:t>
      </w:r>
      <w:r w:rsidRPr="00B65DF1">
        <w:t xml:space="preserve"> do not list all accounts that need adjustments. </w:t>
      </w:r>
      <w:r>
        <w:t>They pick</w:t>
      </w:r>
      <w:r w:rsidRPr="00B65DF1">
        <w:t xml:space="preserve"> out only the common ones.</w:t>
      </w:r>
      <w:r>
        <w:t xml:space="preserve"> The tables also show only the enterprise items, as financial items are generally not subjective.]</w:t>
      </w:r>
    </w:p>
    <w:p w:rsidR="00E9250D" w:rsidRDefault="00E9250D" w:rsidP="00E9250D">
      <w:pPr>
        <w:pStyle w:val="Heading2"/>
      </w:pPr>
      <w:r>
        <w:t>Deriving enterprise ACE from enterprise cash flows</w:t>
      </w:r>
    </w:p>
    <w:tbl>
      <w:tblPr>
        <w:tblW w:w="0" w:type="auto"/>
        <w:tblInd w:w="6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7075"/>
      </w:tblGrid>
      <w:tr w:rsidR="00E9250D" w:rsidTr="003B46AC">
        <w:trPr>
          <w:cantSplit/>
        </w:trPr>
        <w:tc>
          <w:tcPr>
            <w:tcW w:w="0" w:type="auto"/>
            <w:tcBorders>
              <w:top w:val="single" w:sz="2" w:space="0" w:color="auto"/>
              <w:left w:val="single" w:sz="2" w:space="0" w:color="auto"/>
              <w:bottom w:val="single" w:sz="2" w:space="0" w:color="auto"/>
              <w:right w:val="single" w:sz="2" w:space="0" w:color="auto"/>
            </w:tcBorders>
            <w:shd w:val="clear" w:color="auto" w:fill="auto"/>
            <w:noWrap/>
          </w:tcPr>
          <w:p w:rsidR="00E9250D" w:rsidRDefault="00E9250D" w:rsidP="003B46AC">
            <w:pPr>
              <w:pStyle w:val="TableLeftText"/>
              <w:keepNext/>
              <w:rPr>
                <w:kern w:val="0"/>
              </w:rPr>
            </w:pPr>
            <w:smartTag w:uri="urn:schemas-microsoft-com:office:smarttags" w:element="City">
              <w:r>
                <w:rPr>
                  <w:kern w:val="0"/>
                </w:rPr>
                <w:t>Enterprise</w:t>
              </w:r>
            </w:smartTag>
            <w:r>
              <w:rPr>
                <w:kern w:val="0"/>
              </w:rPr>
              <w:t xml:space="preserve"> cash flow [</w:t>
            </w:r>
            <w:smartTag w:uri="urn:schemas-microsoft-com:office:smarttags" w:element="place">
              <w:smartTag w:uri="urn:schemas-microsoft-com:office:smarttags" w:element="City">
                <w:r>
                  <w:rPr>
                    <w:kern w:val="0"/>
                  </w:rPr>
                  <w:t>Enterprise</w:t>
                </w:r>
              </w:smartTag>
            </w:smartTag>
            <w:r>
              <w:rPr>
                <w:kern w:val="0"/>
              </w:rPr>
              <w:t xml:space="preserve"> profit with no accruals]</w:t>
            </w:r>
          </w:p>
        </w:tc>
      </w:tr>
      <w:tr w:rsidR="00E9250D" w:rsidTr="003B46AC">
        <w:trPr>
          <w:cantSplit/>
        </w:trPr>
        <w:tc>
          <w:tcPr>
            <w:tcW w:w="0" w:type="auto"/>
            <w:tcBorders>
              <w:top w:val="single" w:sz="2" w:space="0" w:color="auto"/>
              <w:left w:val="single" w:sz="2" w:space="0" w:color="auto"/>
              <w:bottom w:val="nil"/>
              <w:right w:val="single" w:sz="2" w:space="0" w:color="auto"/>
            </w:tcBorders>
            <w:noWrap/>
          </w:tcPr>
          <w:p w:rsidR="00E9250D" w:rsidRDefault="00E9250D" w:rsidP="003B46AC">
            <w:pPr>
              <w:pStyle w:val="TableLeftText"/>
              <w:keepNext/>
              <w:rPr>
                <w:kern w:val="0"/>
              </w:rPr>
            </w:pPr>
            <w:r>
              <w:rPr>
                <w:kern w:val="0"/>
              </w:rPr>
              <w:t>Change in receivables</w:t>
            </w:r>
          </w:p>
        </w:tc>
      </w:tr>
      <w:tr w:rsidR="00E9250D" w:rsidTr="003B46AC">
        <w:trPr>
          <w:cantSplit/>
        </w:trPr>
        <w:tc>
          <w:tcPr>
            <w:tcW w:w="0" w:type="auto"/>
            <w:tcBorders>
              <w:top w:val="nil"/>
              <w:left w:val="single" w:sz="2" w:space="0" w:color="auto"/>
              <w:bottom w:val="single" w:sz="2" w:space="0" w:color="auto"/>
              <w:right w:val="single" w:sz="2" w:space="0" w:color="auto"/>
            </w:tcBorders>
            <w:noWrap/>
          </w:tcPr>
          <w:p w:rsidR="00E9250D" w:rsidRDefault="00E9250D" w:rsidP="003B46AC">
            <w:pPr>
              <w:pStyle w:val="TableLeftText"/>
              <w:keepNext/>
              <w:rPr>
                <w:kern w:val="0"/>
              </w:rPr>
            </w:pPr>
            <w:r>
              <w:rPr>
                <w:kern w:val="0"/>
              </w:rPr>
              <w:t>(Change in payables)</w:t>
            </w:r>
          </w:p>
        </w:tc>
      </w:tr>
      <w:tr w:rsidR="00E9250D" w:rsidTr="003B46AC">
        <w:trPr>
          <w:cantSplit/>
        </w:trPr>
        <w:tc>
          <w:tcPr>
            <w:tcW w:w="0" w:type="auto"/>
            <w:tcBorders>
              <w:top w:val="single" w:sz="2" w:space="0" w:color="auto"/>
              <w:left w:val="single" w:sz="2" w:space="0" w:color="auto"/>
              <w:bottom w:val="single" w:sz="2" w:space="0" w:color="auto"/>
              <w:right w:val="single" w:sz="2" w:space="0" w:color="auto"/>
            </w:tcBorders>
            <w:shd w:val="clear" w:color="auto" w:fill="E6E6E6"/>
            <w:noWrap/>
          </w:tcPr>
          <w:p w:rsidR="00E9250D" w:rsidRDefault="00E9250D" w:rsidP="003B46AC">
            <w:pPr>
              <w:pStyle w:val="TableLeftText"/>
              <w:keepNext/>
              <w:rPr>
                <w:kern w:val="0"/>
              </w:rPr>
            </w:pPr>
            <w:r>
              <w:rPr>
                <w:kern w:val="0"/>
              </w:rPr>
              <w:t xml:space="preserve">= </w:t>
            </w:r>
            <w:smartTag w:uri="urn:schemas-microsoft-com:office:smarttags" w:element="place">
              <w:smartTag w:uri="urn:schemas-microsoft-com:office:smarttags" w:element="City">
                <w:r>
                  <w:rPr>
                    <w:kern w:val="0"/>
                  </w:rPr>
                  <w:t>Enterprise</w:t>
                </w:r>
              </w:smartTag>
            </w:smartTag>
            <w:r>
              <w:rPr>
                <w:kern w:val="0"/>
              </w:rPr>
              <w:t xml:space="preserve"> cash flow with hard accruals </w:t>
            </w:r>
          </w:p>
          <w:p w:rsidR="00E9250D" w:rsidRDefault="00E9250D" w:rsidP="003B46AC">
            <w:pPr>
              <w:pStyle w:val="TableLeftText"/>
              <w:keepNext/>
              <w:rPr>
                <w:kern w:val="0"/>
              </w:rPr>
            </w:pPr>
            <w:r>
              <w:rPr>
                <w:kern w:val="0"/>
              </w:rPr>
              <w:t xml:space="preserve">[Cash enterprise earnings: </w:t>
            </w:r>
            <w:smartTag w:uri="urn:schemas-microsoft-com:office:smarttags" w:element="place">
              <w:smartTag w:uri="urn:schemas-microsoft-com:office:smarttags" w:element="City">
                <w:r>
                  <w:rPr>
                    <w:kern w:val="0"/>
                  </w:rPr>
                  <w:t>Enterprise</w:t>
                </w:r>
              </w:smartTag>
            </w:smartTag>
            <w:r>
              <w:rPr>
                <w:kern w:val="0"/>
              </w:rPr>
              <w:t xml:space="preserve"> profit without soft accruals]</w:t>
            </w:r>
          </w:p>
        </w:tc>
      </w:tr>
      <w:tr w:rsidR="00E9250D" w:rsidTr="003B46AC">
        <w:trPr>
          <w:cantSplit/>
        </w:trPr>
        <w:tc>
          <w:tcPr>
            <w:tcW w:w="0" w:type="auto"/>
            <w:tcBorders>
              <w:top w:val="nil"/>
              <w:left w:val="single" w:sz="2" w:space="0" w:color="auto"/>
              <w:bottom w:val="nil"/>
              <w:right w:val="single" w:sz="2" w:space="0" w:color="auto"/>
            </w:tcBorders>
            <w:noWrap/>
          </w:tcPr>
          <w:p w:rsidR="00E9250D" w:rsidRDefault="00E9250D" w:rsidP="003B46AC">
            <w:pPr>
              <w:pStyle w:val="TableLeftText"/>
              <w:keepNext/>
              <w:rPr>
                <w:kern w:val="0"/>
              </w:rPr>
            </w:pPr>
            <w:r>
              <w:rPr>
                <w:kern w:val="0"/>
              </w:rPr>
              <w:t>Change in inventory due to growth in business</w:t>
            </w:r>
          </w:p>
        </w:tc>
      </w:tr>
      <w:tr w:rsidR="00E9250D" w:rsidTr="003B46AC">
        <w:trPr>
          <w:cantSplit/>
        </w:trPr>
        <w:tc>
          <w:tcPr>
            <w:tcW w:w="0" w:type="auto"/>
            <w:tcBorders>
              <w:top w:val="nil"/>
              <w:left w:val="single" w:sz="2" w:space="0" w:color="auto"/>
              <w:bottom w:val="nil"/>
              <w:right w:val="single" w:sz="2" w:space="0" w:color="auto"/>
            </w:tcBorders>
            <w:noWrap/>
          </w:tcPr>
          <w:p w:rsidR="00E9250D" w:rsidRDefault="00E9250D" w:rsidP="003B46AC">
            <w:pPr>
              <w:pStyle w:val="TableLeftText"/>
              <w:keepNext/>
              <w:rPr>
                <w:kern w:val="0"/>
              </w:rPr>
            </w:pPr>
            <w:r>
              <w:rPr>
                <w:kern w:val="0"/>
              </w:rPr>
              <w:t>Change in net PPE due to growth in business</w:t>
            </w:r>
          </w:p>
        </w:tc>
      </w:tr>
      <w:tr w:rsidR="00E9250D" w:rsidTr="003B46AC">
        <w:trPr>
          <w:cantSplit/>
        </w:trPr>
        <w:tc>
          <w:tcPr>
            <w:tcW w:w="0" w:type="auto"/>
            <w:tcBorders>
              <w:top w:val="nil"/>
              <w:left w:val="single" w:sz="2" w:space="0" w:color="auto"/>
              <w:bottom w:val="nil"/>
              <w:right w:val="single" w:sz="2" w:space="0" w:color="auto"/>
            </w:tcBorders>
            <w:noWrap/>
          </w:tcPr>
          <w:p w:rsidR="00E9250D" w:rsidRDefault="00E9250D" w:rsidP="003B46AC">
            <w:pPr>
              <w:pStyle w:val="TableLeftText"/>
              <w:keepNext/>
              <w:rPr>
                <w:kern w:val="0"/>
              </w:rPr>
            </w:pPr>
            <w:r>
              <w:rPr>
                <w:kern w:val="0"/>
              </w:rPr>
              <w:t>(Change in deferred revenue due to growth in business)</w:t>
            </w:r>
          </w:p>
        </w:tc>
      </w:tr>
      <w:tr w:rsidR="00E9250D" w:rsidTr="003B46AC">
        <w:trPr>
          <w:cantSplit/>
        </w:trPr>
        <w:tc>
          <w:tcPr>
            <w:tcW w:w="0" w:type="auto"/>
            <w:tcBorders>
              <w:top w:val="nil"/>
              <w:left w:val="single" w:sz="2" w:space="0" w:color="auto"/>
              <w:bottom w:val="single" w:sz="2" w:space="0" w:color="auto"/>
              <w:right w:val="single" w:sz="2" w:space="0" w:color="auto"/>
            </w:tcBorders>
            <w:noWrap/>
          </w:tcPr>
          <w:p w:rsidR="00E9250D" w:rsidRDefault="00E9250D" w:rsidP="003B46AC">
            <w:pPr>
              <w:pStyle w:val="TableLeftText"/>
              <w:keepNext/>
              <w:rPr>
                <w:kern w:val="0"/>
              </w:rPr>
            </w:pPr>
            <w:r>
              <w:rPr>
                <w:kern w:val="0"/>
              </w:rPr>
              <w:t>(Change in long-term accrued expenses due to growth in business)</w:t>
            </w:r>
          </w:p>
        </w:tc>
      </w:tr>
      <w:tr w:rsidR="00E9250D" w:rsidTr="003B46AC">
        <w:trPr>
          <w:cantSplit/>
        </w:trPr>
        <w:tc>
          <w:tcPr>
            <w:tcW w:w="0" w:type="auto"/>
            <w:tcBorders>
              <w:top w:val="single" w:sz="2" w:space="0" w:color="auto"/>
              <w:left w:val="single" w:sz="2" w:space="0" w:color="auto"/>
              <w:bottom w:val="single" w:sz="2" w:space="0" w:color="auto"/>
              <w:right w:val="single" w:sz="2" w:space="0" w:color="auto"/>
            </w:tcBorders>
            <w:shd w:val="clear" w:color="auto" w:fill="CCECFF"/>
            <w:noWrap/>
          </w:tcPr>
          <w:p w:rsidR="00E9250D" w:rsidRDefault="00E9250D" w:rsidP="003B46AC">
            <w:pPr>
              <w:pStyle w:val="TableLeftText"/>
              <w:keepNext/>
              <w:rPr>
                <w:kern w:val="0"/>
              </w:rPr>
            </w:pPr>
            <w:r>
              <w:rPr>
                <w:kern w:val="0"/>
              </w:rPr>
              <w:t xml:space="preserve">= Adjusted cash enterprise earnings: </w:t>
            </w:r>
            <w:smartTag w:uri="urn:schemas-microsoft-com:office:smarttags" w:element="place">
              <w:smartTag w:uri="urn:schemas-microsoft-com:office:smarttags" w:element="City">
                <w:smartTag w:uri="urn:schemas-microsoft-com:office:smarttags" w:element="PersonName">
                  <w:r>
                    <w:rPr>
                      <w:kern w:val="0"/>
                    </w:rPr>
                    <w:t>Enterprise</w:t>
                  </w:r>
                </w:smartTag>
              </w:smartTag>
            </w:smartTag>
            <w:r>
              <w:rPr>
                <w:kern w:val="0"/>
              </w:rPr>
              <w:t xml:space="preserve"> cash flow adjusted for growth</w:t>
            </w:r>
          </w:p>
        </w:tc>
      </w:tr>
    </w:tbl>
    <w:p w:rsidR="00E9250D" w:rsidRDefault="00E9250D" w:rsidP="00E9250D"/>
    <w:p w:rsidR="00D94948" w:rsidRDefault="00E9250D" w:rsidP="00D94948">
      <w:pPr>
        <w:pStyle w:val="BodyText"/>
      </w:pPr>
      <w:r>
        <w:t xml:space="preserve">Note that </w:t>
      </w:r>
      <w:smartTag w:uri="urn:schemas-microsoft-com:office:smarttags" w:element="City">
        <w:smartTag w:uri="urn:schemas-microsoft-com:office:smarttags" w:element="place">
          <w:r>
            <w:t>Enterprise</w:t>
          </w:r>
        </w:smartTag>
      </w:smartTag>
      <w:r>
        <w:t xml:space="preserve"> cash flow = Operating cash flow + Net interest payments after tax – Capital expenditures.</w:t>
      </w:r>
    </w:p>
    <w:p w:rsidR="00E9250D" w:rsidRDefault="00E9250D" w:rsidP="00D94948">
      <w:pPr>
        <w:pStyle w:val="Heading2"/>
      </w:pPr>
      <w:r>
        <w:t>Deriving ACE from earnings</w:t>
      </w:r>
    </w:p>
    <w:tbl>
      <w:tblPr>
        <w:tblW w:w="0" w:type="auto"/>
        <w:tblInd w:w="6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115" w:type="dxa"/>
          <w:right w:w="115" w:type="dxa"/>
        </w:tblCellMar>
        <w:tblLook w:val="0000" w:firstRow="0" w:lastRow="0" w:firstColumn="0" w:lastColumn="0" w:noHBand="0" w:noVBand="0"/>
      </w:tblPr>
      <w:tblGrid>
        <w:gridCol w:w="6024"/>
      </w:tblGrid>
      <w:tr w:rsidR="00E9250D" w:rsidTr="003B46AC">
        <w:trPr>
          <w:cantSplit/>
        </w:trPr>
        <w:tc>
          <w:tcPr>
            <w:tcW w:w="0" w:type="auto"/>
            <w:tcBorders>
              <w:top w:val="single" w:sz="2" w:space="0" w:color="auto"/>
              <w:left w:val="single" w:sz="2" w:space="0" w:color="auto"/>
              <w:bottom w:val="single" w:sz="2" w:space="0" w:color="auto"/>
              <w:right w:val="single" w:sz="2" w:space="0" w:color="auto"/>
            </w:tcBorders>
            <w:shd w:val="clear" w:color="auto" w:fill="auto"/>
            <w:noWrap/>
          </w:tcPr>
          <w:p w:rsidR="00E9250D" w:rsidRDefault="00E9250D" w:rsidP="003B46AC">
            <w:pPr>
              <w:pStyle w:val="TableLeftText"/>
              <w:keepNext/>
              <w:rPr>
                <w:kern w:val="0"/>
              </w:rPr>
            </w:pPr>
            <w:smartTag w:uri="urn:schemas-microsoft-com:office:smarttags" w:element="place">
              <w:smartTag w:uri="urn:schemas-microsoft-com:office:smarttags" w:element="City">
                <w:smartTag w:uri="urn:schemas-microsoft-com:office:smarttags" w:element="PersonName">
                  <w:r>
                    <w:rPr>
                      <w:kern w:val="0"/>
                    </w:rPr>
                    <w:t>Enterprise</w:t>
                  </w:r>
                </w:smartTag>
              </w:smartTag>
            </w:smartTag>
            <w:r>
              <w:rPr>
                <w:kern w:val="0"/>
              </w:rPr>
              <w:t xml:space="preserve"> profit after tax</w:t>
            </w:r>
          </w:p>
        </w:tc>
      </w:tr>
      <w:tr w:rsidR="00E9250D" w:rsidTr="003B46AC">
        <w:trPr>
          <w:cantSplit/>
        </w:trPr>
        <w:tc>
          <w:tcPr>
            <w:tcW w:w="0" w:type="auto"/>
            <w:tcBorders>
              <w:top w:val="single" w:sz="2" w:space="0" w:color="auto"/>
              <w:left w:val="single" w:sz="2" w:space="0" w:color="auto"/>
              <w:bottom w:val="nil"/>
              <w:right w:val="single" w:sz="2" w:space="0" w:color="auto"/>
            </w:tcBorders>
            <w:noWrap/>
          </w:tcPr>
          <w:p w:rsidR="00E9250D" w:rsidRDefault="00E9250D" w:rsidP="003B46AC">
            <w:pPr>
              <w:pStyle w:val="TableLeftText"/>
              <w:keepNext/>
              <w:rPr>
                <w:kern w:val="0"/>
              </w:rPr>
            </w:pPr>
            <w:r>
              <w:rPr>
                <w:kern w:val="0"/>
              </w:rPr>
              <w:t>(Change in inventory)</w:t>
            </w:r>
          </w:p>
        </w:tc>
      </w:tr>
      <w:tr w:rsidR="00E9250D" w:rsidTr="003B46AC">
        <w:trPr>
          <w:cantSplit/>
        </w:trPr>
        <w:tc>
          <w:tcPr>
            <w:tcW w:w="0" w:type="auto"/>
            <w:tcBorders>
              <w:top w:val="nil"/>
              <w:left w:val="single" w:sz="2" w:space="0" w:color="auto"/>
              <w:bottom w:val="nil"/>
              <w:right w:val="single" w:sz="2" w:space="0" w:color="auto"/>
            </w:tcBorders>
            <w:noWrap/>
          </w:tcPr>
          <w:p w:rsidR="00E9250D" w:rsidRDefault="00E9250D" w:rsidP="003B46AC">
            <w:pPr>
              <w:pStyle w:val="TableLeftText"/>
              <w:keepNext/>
              <w:rPr>
                <w:kern w:val="0"/>
              </w:rPr>
            </w:pPr>
            <w:r>
              <w:rPr>
                <w:kern w:val="0"/>
              </w:rPr>
              <w:t>(Change in net PPE)</w:t>
            </w:r>
          </w:p>
        </w:tc>
      </w:tr>
      <w:tr w:rsidR="00E9250D" w:rsidTr="003B46AC">
        <w:trPr>
          <w:cantSplit/>
        </w:trPr>
        <w:tc>
          <w:tcPr>
            <w:tcW w:w="0" w:type="auto"/>
            <w:tcBorders>
              <w:top w:val="nil"/>
              <w:left w:val="single" w:sz="2" w:space="0" w:color="auto"/>
              <w:bottom w:val="nil"/>
              <w:right w:val="single" w:sz="2" w:space="0" w:color="auto"/>
            </w:tcBorders>
            <w:noWrap/>
          </w:tcPr>
          <w:p w:rsidR="00E9250D" w:rsidRDefault="00E9250D" w:rsidP="003B46AC">
            <w:pPr>
              <w:pStyle w:val="TableLeftText"/>
              <w:keepNext/>
              <w:rPr>
                <w:kern w:val="0"/>
              </w:rPr>
            </w:pPr>
            <w:r>
              <w:rPr>
                <w:kern w:val="0"/>
              </w:rPr>
              <w:t>Change in deferred revenue</w:t>
            </w:r>
          </w:p>
        </w:tc>
      </w:tr>
      <w:tr w:rsidR="00E9250D" w:rsidTr="003B46AC">
        <w:trPr>
          <w:cantSplit/>
        </w:trPr>
        <w:tc>
          <w:tcPr>
            <w:tcW w:w="0" w:type="auto"/>
            <w:tcBorders>
              <w:top w:val="nil"/>
              <w:left w:val="single" w:sz="2" w:space="0" w:color="auto"/>
              <w:bottom w:val="single" w:sz="2" w:space="0" w:color="auto"/>
              <w:right w:val="single" w:sz="2" w:space="0" w:color="auto"/>
            </w:tcBorders>
            <w:noWrap/>
          </w:tcPr>
          <w:p w:rsidR="00E9250D" w:rsidRDefault="00E9250D" w:rsidP="003B46AC">
            <w:pPr>
              <w:pStyle w:val="TableLeftText"/>
              <w:keepNext/>
              <w:rPr>
                <w:kern w:val="0"/>
              </w:rPr>
            </w:pPr>
            <w:r>
              <w:rPr>
                <w:kern w:val="0"/>
              </w:rPr>
              <w:t>Change in long-term accrued expenses</w:t>
            </w:r>
          </w:p>
        </w:tc>
      </w:tr>
      <w:tr w:rsidR="00E9250D" w:rsidTr="003B46AC">
        <w:trPr>
          <w:cantSplit/>
        </w:trPr>
        <w:tc>
          <w:tcPr>
            <w:tcW w:w="0" w:type="auto"/>
            <w:tcBorders>
              <w:top w:val="single" w:sz="2" w:space="0" w:color="auto"/>
              <w:left w:val="single" w:sz="2" w:space="0" w:color="auto"/>
              <w:bottom w:val="single" w:sz="2" w:space="0" w:color="auto"/>
              <w:right w:val="single" w:sz="2" w:space="0" w:color="auto"/>
            </w:tcBorders>
            <w:shd w:val="clear" w:color="auto" w:fill="E6E6E6"/>
            <w:noWrap/>
          </w:tcPr>
          <w:p w:rsidR="00E9250D" w:rsidRDefault="00E9250D" w:rsidP="003B46AC">
            <w:pPr>
              <w:pStyle w:val="TableLeftText"/>
              <w:keepNext/>
              <w:rPr>
                <w:kern w:val="0"/>
              </w:rPr>
            </w:pPr>
            <w:r>
              <w:rPr>
                <w:kern w:val="0"/>
              </w:rPr>
              <w:t xml:space="preserve">= Cash enterprise earnings: </w:t>
            </w:r>
            <w:smartTag w:uri="urn:schemas-microsoft-com:office:smarttags" w:element="City">
              <w:smartTag w:uri="urn:schemas-microsoft-com:office:smarttags" w:element="place">
                <w:smartTag w:uri="urn:schemas-microsoft-com:office:smarttags" w:element="PersonName">
                  <w:r>
                    <w:rPr>
                      <w:kern w:val="0"/>
                    </w:rPr>
                    <w:t>Enterprise</w:t>
                  </w:r>
                </w:smartTag>
              </w:smartTag>
            </w:smartTag>
            <w:r>
              <w:rPr>
                <w:kern w:val="0"/>
              </w:rPr>
              <w:t xml:space="preserve"> profit without soft accruals </w:t>
            </w:r>
          </w:p>
          <w:p w:rsidR="00E9250D" w:rsidRDefault="00E9250D" w:rsidP="003B46AC">
            <w:pPr>
              <w:pStyle w:val="TableLeftText"/>
              <w:keepNext/>
              <w:rPr>
                <w:kern w:val="0"/>
              </w:rPr>
            </w:pPr>
            <w:r>
              <w:rPr>
                <w:kern w:val="0"/>
              </w:rPr>
              <w:t>[</w:t>
            </w:r>
            <w:smartTag w:uri="urn:schemas-microsoft-com:office:smarttags" w:element="City">
              <w:smartTag w:uri="urn:schemas-microsoft-com:office:smarttags" w:element="place">
                <w:smartTag w:uri="urn:schemas-microsoft-com:office:smarttags" w:element="PersonName">
                  <w:r>
                    <w:rPr>
                      <w:kern w:val="0"/>
                    </w:rPr>
                    <w:t>Enterprise</w:t>
                  </w:r>
                </w:smartTag>
              </w:smartTag>
            </w:smartTag>
            <w:r>
              <w:rPr>
                <w:kern w:val="0"/>
              </w:rPr>
              <w:t xml:space="preserve"> cash flow with hard accruals]</w:t>
            </w:r>
          </w:p>
        </w:tc>
      </w:tr>
      <w:tr w:rsidR="00E9250D" w:rsidTr="003B46AC">
        <w:trPr>
          <w:cantSplit/>
        </w:trPr>
        <w:tc>
          <w:tcPr>
            <w:tcW w:w="0" w:type="auto"/>
            <w:tcBorders>
              <w:top w:val="single" w:sz="2" w:space="0" w:color="auto"/>
              <w:left w:val="single" w:sz="2" w:space="0" w:color="auto"/>
              <w:bottom w:val="single" w:sz="2" w:space="0" w:color="auto"/>
              <w:right w:val="single" w:sz="2" w:space="0" w:color="auto"/>
            </w:tcBorders>
            <w:shd w:val="clear" w:color="auto" w:fill="auto"/>
            <w:noWrap/>
          </w:tcPr>
          <w:p w:rsidR="00E9250D" w:rsidRDefault="00E9250D" w:rsidP="003B46AC">
            <w:pPr>
              <w:pStyle w:val="TableLeftText"/>
              <w:keepNext/>
              <w:rPr>
                <w:kern w:val="0"/>
              </w:rPr>
            </w:pPr>
            <w:r>
              <w:rPr>
                <w:kern w:val="0"/>
              </w:rPr>
              <w:t>The rest of the steps are the same as the above table.</w:t>
            </w:r>
          </w:p>
        </w:tc>
      </w:tr>
    </w:tbl>
    <w:p w:rsidR="00E9250D" w:rsidRDefault="00E9250D" w:rsidP="00CF7298">
      <w:pPr>
        <w:pStyle w:val="BodyText"/>
      </w:pPr>
    </w:p>
    <w:p w:rsidR="001E48D3" w:rsidRPr="001E48D3" w:rsidRDefault="001E48D3" w:rsidP="001E48D3">
      <w:pPr>
        <w:pStyle w:val="Heading1"/>
      </w:pPr>
      <w:r w:rsidRPr="001E48D3">
        <w:t>Summary</w:t>
      </w:r>
    </w:p>
    <w:p w:rsidR="001E48D3" w:rsidRPr="001E48D3" w:rsidRDefault="001E48D3" w:rsidP="001E48D3">
      <w:pPr>
        <w:pStyle w:val="BodyText"/>
      </w:pPr>
      <w:r w:rsidRPr="001E48D3">
        <w:t xml:space="preserve">The spreadsheet provides metrics </w:t>
      </w:r>
      <w:r>
        <w:t xml:space="preserve">to improve the </w:t>
      </w:r>
      <w:r w:rsidRPr="001E48D3">
        <w:t xml:space="preserve">aid the forecasting of changes in profit margin. While each </w:t>
      </w:r>
      <w:r>
        <w:t>metric provides useful insights</w:t>
      </w:r>
      <w:r w:rsidRPr="001E48D3">
        <w:t xml:space="preserve">, </w:t>
      </w:r>
      <w:r>
        <w:t xml:space="preserve">we comment on their </w:t>
      </w:r>
      <w:r w:rsidRPr="001E48D3">
        <w:t xml:space="preserve">relative merits </w:t>
      </w:r>
      <w:r>
        <w:t>below</w:t>
      </w:r>
      <w:r w:rsidRPr="001E48D3">
        <w:t>.</w:t>
      </w:r>
    </w:p>
    <w:p w:rsidR="001E48D3" w:rsidRPr="001E48D3" w:rsidRDefault="001E48D3" w:rsidP="001E48D3">
      <w:pPr>
        <w:pStyle w:val="BodyText"/>
        <w:numPr>
          <w:ilvl w:val="0"/>
          <w:numId w:val="48"/>
        </w:numPr>
      </w:pPr>
      <w:r>
        <w:t>Cash earnings or “hard” earnings</w:t>
      </w:r>
      <w:r w:rsidRPr="001E48D3">
        <w:t xml:space="preserve">: </w:t>
      </w:r>
      <w:r w:rsidR="00F57C85">
        <w:t xml:space="preserve">This metric scrubs the effect of changes in </w:t>
      </w:r>
      <w:r w:rsidRPr="001E48D3">
        <w:t>“subjective, soft accruals</w:t>
      </w:r>
      <w:r>
        <w:t>”</w:t>
      </w:r>
      <w:r w:rsidR="00F57C85">
        <w:t xml:space="preserve"> from reported earnings. Examples of such accruals are </w:t>
      </w:r>
      <w:r w:rsidR="003B5D31">
        <w:t xml:space="preserve">changes in </w:t>
      </w:r>
      <w:r w:rsidR="00F57C85">
        <w:t xml:space="preserve">inventories, PP&amp;E, deferred taxes, deferred revenues, </w:t>
      </w:r>
      <w:r w:rsidRPr="001E48D3">
        <w:t>inven</w:t>
      </w:r>
      <w:r w:rsidR="00F57C85">
        <w:t>tories, pension liabilities etc</w:t>
      </w:r>
      <w:r w:rsidR="003B5D31">
        <w:t>.</w:t>
      </w:r>
      <w:r w:rsidRPr="001E48D3">
        <w:t xml:space="preserve"> The metric is the useful for </w:t>
      </w:r>
      <w:r w:rsidR="003B5D31">
        <w:t xml:space="preserve">mature </w:t>
      </w:r>
      <w:r w:rsidRPr="001E48D3">
        <w:t xml:space="preserve">firms that are </w:t>
      </w:r>
      <w:r w:rsidR="003B5D31">
        <w:t>neither growing nor contracting because</w:t>
      </w:r>
      <w:r w:rsidRPr="001E48D3">
        <w:t xml:space="preserve"> under such circumstance</w:t>
      </w:r>
      <w:r w:rsidR="00F57C85">
        <w:t>s</w:t>
      </w:r>
      <w:r w:rsidRPr="001E48D3">
        <w:t xml:space="preserve"> soft ac</w:t>
      </w:r>
      <w:r w:rsidR="00F57C85">
        <w:t xml:space="preserve">cruals should </w:t>
      </w:r>
      <w:r w:rsidR="003B5D31">
        <w:t xml:space="preserve">not </w:t>
      </w:r>
      <w:r w:rsidR="00F57C85">
        <w:t>change materially from one period to next.</w:t>
      </w:r>
    </w:p>
    <w:p w:rsidR="001E48D3" w:rsidRDefault="001E48D3" w:rsidP="001E48D3">
      <w:pPr>
        <w:pStyle w:val="BodyText"/>
        <w:numPr>
          <w:ilvl w:val="0"/>
          <w:numId w:val="48"/>
        </w:numPr>
      </w:pPr>
      <w:r>
        <w:t>Adjusted cash earnings (ACE)</w:t>
      </w:r>
      <w:r w:rsidRPr="001E48D3">
        <w:t xml:space="preserve">: </w:t>
      </w:r>
      <w:r w:rsidR="003B5D31">
        <w:t xml:space="preserve">ACE equals </w:t>
      </w:r>
      <w:r w:rsidRPr="001E48D3">
        <w:t xml:space="preserve">cash earnings plus an adjustment </w:t>
      </w:r>
      <w:r w:rsidR="003B5D31">
        <w:t>for</w:t>
      </w:r>
      <w:r w:rsidRPr="001E48D3">
        <w:t xml:space="preserve"> the </w:t>
      </w:r>
      <w:r w:rsidR="003B5D31">
        <w:t>change</w:t>
      </w:r>
      <w:r w:rsidRPr="001E48D3">
        <w:t xml:space="preserve"> in accruals </w:t>
      </w:r>
      <w:r w:rsidR="00A54F5B">
        <w:t xml:space="preserve">due to </w:t>
      </w:r>
      <w:r w:rsidRPr="001E48D3">
        <w:t>growth in</w:t>
      </w:r>
      <w:r w:rsidR="003B5D31">
        <w:t xml:space="preserve"> the business. If there is not much of a lag between investment in the business an</w:t>
      </w:r>
      <w:r w:rsidR="00A54F5B">
        <w:t>d</w:t>
      </w:r>
      <w:r w:rsidR="003B5D31">
        <w:t xml:space="preserve"> sales growth, then one use</w:t>
      </w:r>
      <w:r w:rsidR="00137098">
        <w:t>s</w:t>
      </w:r>
      <w:r w:rsidR="003B5D31">
        <w:t xml:space="preserve"> sales growth as a proxy for growth in the size of the business. </w:t>
      </w:r>
      <w:r w:rsidRPr="001E48D3">
        <w:t xml:space="preserve">ACE </w:t>
      </w:r>
      <w:r w:rsidR="00A54F5B">
        <w:t xml:space="preserve">is </w:t>
      </w:r>
      <w:r w:rsidRPr="001E48D3">
        <w:t xml:space="preserve">a “quality of earnings” metric because </w:t>
      </w:r>
      <w:r w:rsidR="00A54F5B">
        <w:t>it allows for growth in accrual only if it justified based on sales growth; ACE scrubs the effect of excessive growth in soft accruals from reported earnings.</w:t>
      </w:r>
    </w:p>
    <w:p w:rsidR="00137098" w:rsidRDefault="001E48D3" w:rsidP="001E48D3">
      <w:pPr>
        <w:pStyle w:val="BodyText"/>
        <w:numPr>
          <w:ilvl w:val="0"/>
          <w:numId w:val="48"/>
        </w:numPr>
      </w:pPr>
      <w:r w:rsidRPr="001E48D3">
        <w:t xml:space="preserve">The trend in soft equity </w:t>
      </w:r>
      <w:r>
        <w:t xml:space="preserve">as a percentage of </w:t>
      </w:r>
      <w:r w:rsidRPr="001E48D3">
        <w:t>current revenues</w:t>
      </w:r>
      <w:r w:rsidR="00A54F5B">
        <w:t>: Soft equity equals sof</w:t>
      </w:r>
      <w:r w:rsidR="007B05EF">
        <w:t xml:space="preserve">t assets less soft liabilities. A </w:t>
      </w:r>
      <w:r w:rsidR="00137098">
        <w:t>disproportionate</w:t>
      </w:r>
      <w:r w:rsidR="007B05EF">
        <w:t xml:space="preserve"> growth </w:t>
      </w:r>
      <w:r w:rsidR="00137098">
        <w:t xml:space="preserve">or decline </w:t>
      </w:r>
      <w:r w:rsidR="007B05EF">
        <w:t>in soft</w:t>
      </w:r>
      <w:r w:rsidR="00137098">
        <w:t xml:space="preserve"> equity tends to reverse itself</w:t>
      </w:r>
      <w:r w:rsidRPr="001E48D3">
        <w:t>.</w:t>
      </w:r>
      <w:r w:rsidR="00137098">
        <w:t xml:space="preserve"> </w:t>
      </w:r>
      <w:r w:rsidR="003A173F">
        <w:t>When soft equity declines</w:t>
      </w:r>
      <w:r w:rsidR="00F951BF">
        <w:t xml:space="preserve"> in the future</w:t>
      </w:r>
      <w:r w:rsidR="003A173F">
        <w:t>, earnings decline, and vice versa. Thus, if soft equity grows as a percent of revenues</w:t>
      </w:r>
      <w:r w:rsidR="00F951BF">
        <w:t xml:space="preserve"> in the current period</w:t>
      </w:r>
      <w:r w:rsidR="003A173F">
        <w:t xml:space="preserve">, then profit margin is expected to decline in the future, and vice versa. </w:t>
      </w:r>
    </w:p>
    <w:p w:rsidR="001E48D3" w:rsidRDefault="00F951BF" w:rsidP="00F951BF">
      <w:pPr>
        <w:pStyle w:val="BodyText"/>
        <w:numPr>
          <w:ilvl w:val="0"/>
          <w:numId w:val="48"/>
        </w:numPr>
      </w:pPr>
      <w:r>
        <w:t>C</w:t>
      </w:r>
      <w:r w:rsidR="001E48D3" w:rsidRPr="001E48D3">
        <w:t xml:space="preserve">ash enterprise profit before </w:t>
      </w:r>
      <w:r>
        <w:t xml:space="preserve">subtracting </w:t>
      </w:r>
      <w:r w:rsidR="001E48D3" w:rsidRPr="001E48D3">
        <w:t xml:space="preserve">expenditures </w:t>
      </w:r>
      <w:r>
        <w:t>that have</w:t>
      </w:r>
      <w:r w:rsidR="003A173F">
        <w:t xml:space="preserve"> future benefits</w:t>
      </w:r>
      <w:r>
        <w:t>: This</w:t>
      </w:r>
      <w:r w:rsidR="001E48D3" w:rsidRPr="001E48D3">
        <w:t xml:space="preserve"> metric eliminates the complexities that come with growth due to capital expenditure</w:t>
      </w:r>
      <w:r w:rsidR="003A173F">
        <w:t>s and R&amp;D. Thus the idea that “</w:t>
      </w:r>
      <w:r w:rsidR="001E48D3" w:rsidRPr="001E48D3">
        <w:t>hard earning estimate of earnings before the cost of using past long term investments in the enterprise” can then be compared to a similar number per books; it provide yet another aspect of a firm’s quality of earnings.</w:t>
      </w:r>
    </w:p>
    <w:sectPr w:rsidR="001E48D3" w:rsidSect="00465A1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30E" w:rsidRDefault="008F330E">
      <w:r>
        <w:separator/>
      </w:r>
    </w:p>
  </w:endnote>
  <w:endnote w:type="continuationSeparator" w:id="0">
    <w:p w:rsidR="008F330E" w:rsidRDefault="008F3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C3F" w:rsidRDefault="00E47C3F" w:rsidP="00FD36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263B">
      <w:rPr>
        <w:rStyle w:val="PageNumber"/>
        <w:noProof/>
      </w:rPr>
      <w:t>5</w:t>
    </w:r>
    <w:r>
      <w:rPr>
        <w:rStyle w:val="PageNumber"/>
      </w:rPr>
      <w:fldChar w:fldCharType="end"/>
    </w:r>
  </w:p>
  <w:p w:rsidR="00E47C3F" w:rsidRDefault="00E47C3F" w:rsidP="00FD36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C3F" w:rsidRPr="00090E6F" w:rsidRDefault="00E47C3F" w:rsidP="00920BEA">
    <w:pPr>
      <w:pStyle w:val="Footer"/>
      <w:tabs>
        <w:tab w:val="clear" w:pos="4320"/>
      </w:tabs>
    </w:pPr>
    <w:r>
      <w:fldChar w:fldCharType="begin"/>
    </w:r>
    <w:r>
      <w:instrText xml:space="preserve"> DATE \@ "MMMM d, yyyy" </w:instrText>
    </w:r>
    <w:r>
      <w:fldChar w:fldCharType="separate"/>
    </w:r>
    <w:r w:rsidR="00593673">
      <w:rPr>
        <w:noProof/>
      </w:rPr>
      <w:t>September 3, 2016</w:t>
    </w:r>
    <w:r>
      <w:fldChar w:fldCharType="end"/>
    </w:r>
    <w:r>
      <w:t xml:space="preserve"> Visit </w:t>
    </w:r>
    <w:hyperlink r:id="rId1" w:history="1">
      <w:r w:rsidRPr="00744C6D">
        <w:rPr>
          <w:rStyle w:val="Hyperlink"/>
        </w:rPr>
        <w:t>http://www.godeohlson.com/</w:t>
      </w:r>
    </w:hyperlink>
    <w:r>
      <w:t xml:space="preserve"> for updates. </w:t>
    </w:r>
    <w:r>
      <w:tab/>
    </w:r>
    <w:r>
      <w:fldChar w:fldCharType="begin"/>
    </w:r>
    <w:r>
      <w:instrText xml:space="preserve"> PAGE </w:instrText>
    </w:r>
    <w:r>
      <w:fldChar w:fldCharType="separate"/>
    </w:r>
    <w:r w:rsidR="00593673">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C7C" w:rsidRDefault="00EB7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30E" w:rsidRDefault="008F330E">
      <w:r>
        <w:separator/>
      </w:r>
    </w:p>
  </w:footnote>
  <w:footnote w:type="continuationSeparator" w:id="0">
    <w:p w:rsidR="008F330E" w:rsidRDefault="008F3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C7C" w:rsidRDefault="00EB7C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C3F" w:rsidRDefault="00E47C3F" w:rsidP="00920BEA">
    <w:pPr>
      <w:pStyle w:val="Header"/>
      <w:tabs>
        <w:tab w:val="clear" w:pos="4320"/>
      </w:tabs>
    </w:pPr>
    <w:r>
      <w:t>Adjusted Cash Earnings (ACE)</w:t>
    </w:r>
    <w:r>
      <w:tab/>
    </w:r>
    <w:r>
      <w:rPr>
        <w:rStyle w:val="PageNumber"/>
      </w:rPr>
      <w:fldChar w:fldCharType="begin"/>
    </w:r>
    <w:r>
      <w:rPr>
        <w:rStyle w:val="PageNumber"/>
      </w:rPr>
      <w:instrText xml:space="preserve"> PAGE </w:instrText>
    </w:r>
    <w:r>
      <w:rPr>
        <w:rStyle w:val="PageNumber"/>
      </w:rPr>
      <w:fldChar w:fldCharType="separate"/>
    </w:r>
    <w:r w:rsidR="00593673">
      <w:rPr>
        <w:rStyle w:val="PageNumber"/>
        <w:noProof/>
      </w:rPr>
      <w:t>1</w:t>
    </w:r>
    <w:r>
      <w:rPr>
        <w:rStyle w:val="PageNumber"/>
      </w:rPr>
      <w:fldChar w:fldCharType="end"/>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C7C" w:rsidRDefault="00EB7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321AD"/>
    <w:multiLevelType w:val="multilevel"/>
    <w:tmpl w:val="0BDE7F6A"/>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4782528"/>
    <w:multiLevelType w:val="multilevel"/>
    <w:tmpl w:val="0BDE7F6A"/>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58C6EAA"/>
    <w:multiLevelType w:val="multilevel"/>
    <w:tmpl w:val="29529492"/>
    <w:numStyleLink w:val="ListBulleted"/>
  </w:abstractNum>
  <w:abstractNum w:abstractNumId="3" w15:restartNumberingAfterBreak="0">
    <w:nsid w:val="05AB17F5"/>
    <w:multiLevelType w:val="hybridMultilevel"/>
    <w:tmpl w:val="34B6A370"/>
    <w:lvl w:ilvl="0" w:tplc="FCE0DF18">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61555D"/>
    <w:multiLevelType w:val="multilevel"/>
    <w:tmpl w:val="8728A3A4"/>
    <w:lvl w:ilvl="0">
      <w:start w:val="1"/>
      <w:numFmt w:val="decimal"/>
      <w:lvlText w:val="%1"/>
      <w:lvlJc w:val="left"/>
      <w:pPr>
        <w:tabs>
          <w:tab w:val="num" w:pos="792"/>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5" w15:restartNumberingAfterBreak="0">
    <w:nsid w:val="0ED2344D"/>
    <w:multiLevelType w:val="multilevel"/>
    <w:tmpl w:val="E30E3590"/>
    <w:numStyleLink w:val="ListOutlineNumbered"/>
  </w:abstractNum>
  <w:abstractNum w:abstractNumId="6" w15:restartNumberingAfterBreak="0">
    <w:nsid w:val="17235D3B"/>
    <w:multiLevelType w:val="multilevel"/>
    <w:tmpl w:val="0BDE7F6A"/>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A6D07FD"/>
    <w:multiLevelType w:val="multilevel"/>
    <w:tmpl w:val="95D6D198"/>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504"/>
        </w:tabs>
        <w:ind w:left="504" w:hanging="504"/>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224"/>
        </w:tabs>
        <w:ind w:left="1224" w:hanging="1224"/>
      </w:pPr>
      <w:rPr>
        <w:rFonts w:hint="default"/>
      </w:rPr>
    </w:lvl>
    <w:lvl w:ilvl="4">
      <w:start w:val="1"/>
      <w:numFmt w:val="decimal"/>
      <w:lvlText w:val="%1.%2.%3.%4.%5."/>
      <w:lvlJc w:val="left"/>
      <w:pPr>
        <w:tabs>
          <w:tab w:val="num" w:pos="1368"/>
        </w:tabs>
        <w:ind w:left="1368" w:hanging="1368"/>
      </w:pPr>
      <w:rPr>
        <w:rFonts w:hint="default"/>
      </w:rPr>
    </w:lvl>
    <w:lvl w:ilvl="5">
      <w:start w:val="1"/>
      <w:numFmt w:val="decimal"/>
      <w:lvlText w:val="%1.%2.%3.%4.%5.%6"/>
      <w:lvlJc w:val="left"/>
      <w:pPr>
        <w:tabs>
          <w:tab w:val="num" w:pos="1512"/>
        </w:tabs>
        <w:ind w:left="1512" w:hanging="1512"/>
      </w:pPr>
      <w:rPr>
        <w:rFonts w:hint="default"/>
      </w:rPr>
    </w:lvl>
    <w:lvl w:ilvl="6">
      <w:start w:val="1"/>
      <w:numFmt w:val="decimal"/>
      <w:lvlText w:val="%1.%2.%3.%4.%5.%6.%7"/>
      <w:lvlJc w:val="left"/>
      <w:pPr>
        <w:tabs>
          <w:tab w:val="num" w:pos="1656"/>
        </w:tabs>
        <w:ind w:left="1656" w:hanging="1656"/>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944"/>
        </w:tabs>
        <w:ind w:left="1944" w:hanging="1944"/>
      </w:pPr>
      <w:rPr>
        <w:rFonts w:hint="default"/>
      </w:rPr>
    </w:lvl>
  </w:abstractNum>
  <w:abstractNum w:abstractNumId="8" w15:restartNumberingAfterBreak="0">
    <w:nsid w:val="1EF01E11"/>
    <w:multiLevelType w:val="multilevel"/>
    <w:tmpl w:val="29529492"/>
    <w:numStyleLink w:val="ListBulleted"/>
  </w:abstractNum>
  <w:abstractNum w:abstractNumId="9" w15:restartNumberingAfterBreak="0">
    <w:nsid w:val="207F64A6"/>
    <w:multiLevelType w:val="hybridMultilevel"/>
    <w:tmpl w:val="EFA2E2FA"/>
    <w:lvl w:ilvl="0" w:tplc="49C8F9BC">
      <w:start w:val="1"/>
      <w:numFmt w:val="bullet"/>
      <w:pStyle w:val="Indentedlist"/>
      <w:lvlText w:val=""/>
      <w:lvlJc w:val="left"/>
      <w:pPr>
        <w:tabs>
          <w:tab w:val="num" w:pos="1008"/>
        </w:tabs>
        <w:ind w:left="1008"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1E0FE3"/>
    <w:multiLevelType w:val="multilevel"/>
    <w:tmpl w:val="E30E3590"/>
    <w:numStyleLink w:val="ListOutlineNumbered"/>
  </w:abstractNum>
  <w:abstractNum w:abstractNumId="11" w15:restartNumberingAfterBreak="0">
    <w:nsid w:val="26C16420"/>
    <w:multiLevelType w:val="multilevel"/>
    <w:tmpl w:val="0BDE7F6A"/>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28BD07C6"/>
    <w:multiLevelType w:val="multilevel"/>
    <w:tmpl w:val="9A4CBF2E"/>
    <w:lvl w:ilvl="0">
      <w:start w:val="1"/>
      <w:numFmt w:val="decimal"/>
      <w:lvlText w:val="%1."/>
      <w:lvlJc w:val="left"/>
      <w:pPr>
        <w:tabs>
          <w:tab w:val="num" w:pos="504"/>
        </w:tabs>
        <w:ind w:left="504" w:hanging="504"/>
      </w:pPr>
      <w:rPr>
        <w:rFonts w:hint="default"/>
        <w:kern w:val="22"/>
        <w:sz w:val="22"/>
      </w:rPr>
    </w:lvl>
    <w:lvl w:ilvl="1">
      <w:start w:val="1"/>
      <w:numFmt w:val="lowerLetter"/>
      <w:lvlText w:val="%2."/>
      <w:lvlJc w:val="left"/>
      <w:pPr>
        <w:tabs>
          <w:tab w:val="num" w:pos="1008"/>
        </w:tabs>
        <w:ind w:left="1008" w:hanging="504"/>
      </w:pPr>
      <w:rPr>
        <w:rFonts w:hint="default"/>
        <w:sz w:val="22"/>
      </w:rPr>
    </w:lvl>
    <w:lvl w:ilvl="2">
      <w:start w:val="1"/>
      <w:numFmt w:val="lowerRoman"/>
      <w:lvlText w:val="%3."/>
      <w:lvlJc w:val="left"/>
      <w:pPr>
        <w:tabs>
          <w:tab w:val="num" w:pos="1512"/>
        </w:tabs>
        <w:ind w:left="1512"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15:restartNumberingAfterBreak="0">
    <w:nsid w:val="2B0F0EF9"/>
    <w:multiLevelType w:val="multilevel"/>
    <w:tmpl w:val="0ADC1FC8"/>
    <w:lvl w:ilvl="0">
      <w:start w:val="1"/>
      <w:numFmt w:val="decimal"/>
      <w:lvlText w:val="%1."/>
      <w:lvlJc w:val="left"/>
      <w:pPr>
        <w:tabs>
          <w:tab w:val="num" w:pos="720"/>
        </w:tabs>
        <w:ind w:left="720" w:hanging="360"/>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D183D9E"/>
    <w:multiLevelType w:val="multilevel"/>
    <w:tmpl w:val="29529492"/>
    <w:numStyleLink w:val="ListBulleted"/>
  </w:abstractNum>
  <w:abstractNum w:abstractNumId="15" w15:restartNumberingAfterBreak="0">
    <w:nsid w:val="2E79059F"/>
    <w:multiLevelType w:val="hybridMultilevel"/>
    <w:tmpl w:val="7E7613C2"/>
    <w:lvl w:ilvl="0" w:tplc="453A4D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866A96"/>
    <w:multiLevelType w:val="multilevel"/>
    <w:tmpl w:val="E24C27B4"/>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224"/>
        </w:tabs>
        <w:ind w:left="1224" w:hanging="1224"/>
      </w:pPr>
      <w:rPr>
        <w:rFonts w:hint="default"/>
      </w:rPr>
    </w:lvl>
    <w:lvl w:ilvl="4">
      <w:start w:val="1"/>
      <w:numFmt w:val="decimal"/>
      <w:lvlText w:val="%1.%2.%3.%4.%5"/>
      <w:lvlJc w:val="left"/>
      <w:pPr>
        <w:tabs>
          <w:tab w:val="num" w:pos="1368"/>
        </w:tabs>
        <w:ind w:left="1368" w:hanging="1368"/>
      </w:pPr>
      <w:rPr>
        <w:rFonts w:hint="default"/>
      </w:rPr>
    </w:lvl>
    <w:lvl w:ilvl="5">
      <w:start w:val="1"/>
      <w:numFmt w:val="decimal"/>
      <w:lvlText w:val="%1.%2.%3.%4.%5.%6"/>
      <w:lvlJc w:val="left"/>
      <w:pPr>
        <w:tabs>
          <w:tab w:val="num" w:pos="1512"/>
        </w:tabs>
        <w:ind w:left="1512" w:hanging="1512"/>
      </w:pPr>
      <w:rPr>
        <w:rFonts w:hint="default"/>
      </w:rPr>
    </w:lvl>
    <w:lvl w:ilvl="6">
      <w:start w:val="1"/>
      <w:numFmt w:val="decimal"/>
      <w:lvlText w:val="%1.%2.%3.%4.%5.%6.%7"/>
      <w:lvlJc w:val="left"/>
      <w:pPr>
        <w:tabs>
          <w:tab w:val="num" w:pos="1656"/>
        </w:tabs>
        <w:ind w:left="1656" w:hanging="1656"/>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944"/>
        </w:tabs>
        <w:ind w:left="1944" w:hanging="1944"/>
      </w:pPr>
      <w:rPr>
        <w:rFonts w:hint="default"/>
      </w:rPr>
    </w:lvl>
  </w:abstractNum>
  <w:abstractNum w:abstractNumId="17" w15:restartNumberingAfterBreak="0">
    <w:nsid w:val="34067556"/>
    <w:multiLevelType w:val="multilevel"/>
    <w:tmpl w:val="29529492"/>
    <w:numStyleLink w:val="ListBulleted"/>
  </w:abstractNum>
  <w:abstractNum w:abstractNumId="18" w15:restartNumberingAfterBreak="0">
    <w:nsid w:val="340A123C"/>
    <w:multiLevelType w:val="multilevel"/>
    <w:tmpl w:val="0BDE7F6A"/>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78A61FE"/>
    <w:multiLevelType w:val="multilevel"/>
    <w:tmpl w:val="E30E3590"/>
    <w:styleLink w:val="ListOutlineNumbered"/>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800"/>
        </w:tabs>
        <w:ind w:left="1800" w:hanging="792"/>
      </w:pPr>
      <w:rPr>
        <w:rFonts w:hint="default"/>
      </w:rPr>
    </w:lvl>
    <w:lvl w:ilvl="3">
      <w:start w:val="1"/>
      <w:numFmt w:val="decimal"/>
      <w:lvlText w:val="%1.%2.%3.%4."/>
      <w:lvlJc w:val="left"/>
      <w:pPr>
        <w:tabs>
          <w:tab w:val="num" w:pos="2736"/>
        </w:tabs>
        <w:ind w:left="2736" w:hanging="936"/>
      </w:pPr>
      <w:rPr>
        <w:rFonts w:hint="default"/>
      </w:rPr>
    </w:lvl>
    <w:lvl w:ilvl="4">
      <w:start w:val="1"/>
      <w:numFmt w:val="decimal"/>
      <w:lvlText w:val="%1.%2.%3.%4.%5."/>
      <w:lvlJc w:val="left"/>
      <w:pPr>
        <w:tabs>
          <w:tab w:val="num" w:pos="3816"/>
        </w:tabs>
        <w:ind w:left="3816" w:hanging="108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3C8A3413"/>
    <w:multiLevelType w:val="hybridMultilevel"/>
    <w:tmpl w:val="73B0B4EA"/>
    <w:lvl w:ilvl="0" w:tplc="21D65D86">
      <w:start w:val="1"/>
      <w:numFmt w:val="bullet"/>
      <w:pStyle w:val="List"/>
      <w:lvlText w:val=""/>
      <w:lvlJc w:val="left"/>
      <w:pPr>
        <w:tabs>
          <w:tab w:val="num" w:pos="504"/>
        </w:tabs>
        <w:ind w:left="504" w:hanging="50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4E1F01"/>
    <w:multiLevelType w:val="multilevel"/>
    <w:tmpl w:val="50EE0E1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648"/>
        </w:tabs>
        <w:ind w:left="648" w:hanging="648"/>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0A132E1"/>
    <w:multiLevelType w:val="multilevel"/>
    <w:tmpl w:val="0228F732"/>
    <w:styleLink w:val="ListMultiple-choiceChar"/>
    <w:lvl w:ilvl="0">
      <w:start w:val="1"/>
      <w:numFmt w:val="lowerLetter"/>
      <w:lvlText w:val="%1."/>
      <w:lvlJc w:val="left"/>
      <w:pPr>
        <w:tabs>
          <w:tab w:val="num" w:pos="1008"/>
        </w:tabs>
        <w:ind w:left="1008" w:hanging="504"/>
      </w:pPr>
      <w:rPr>
        <w:rFonts w:hint="default"/>
      </w:rPr>
    </w:lvl>
    <w:lvl w:ilvl="1">
      <w:start w:val="1"/>
      <w:numFmt w:val="upperLetter"/>
      <w:lvlText w:val="%2."/>
      <w:lvlJc w:val="left"/>
      <w:pPr>
        <w:tabs>
          <w:tab w:val="num" w:pos="1584"/>
        </w:tabs>
        <w:ind w:left="1224" w:firstLine="0"/>
      </w:pPr>
      <w:rPr>
        <w:rFonts w:hint="default"/>
      </w:rPr>
    </w:lvl>
    <w:lvl w:ilvl="2">
      <w:start w:val="1"/>
      <w:numFmt w:val="decimal"/>
      <w:lvlText w:val="%3."/>
      <w:lvlJc w:val="left"/>
      <w:pPr>
        <w:tabs>
          <w:tab w:val="num" w:pos="2304"/>
        </w:tabs>
        <w:ind w:left="1944" w:firstLine="0"/>
      </w:pPr>
      <w:rPr>
        <w:rFonts w:hint="default"/>
      </w:rPr>
    </w:lvl>
    <w:lvl w:ilvl="3">
      <w:start w:val="1"/>
      <w:numFmt w:val="lowerLetter"/>
      <w:lvlText w:val="%4)"/>
      <w:lvlJc w:val="left"/>
      <w:pPr>
        <w:tabs>
          <w:tab w:val="num" w:pos="3024"/>
        </w:tabs>
        <w:ind w:left="2664" w:firstLine="0"/>
      </w:pPr>
      <w:rPr>
        <w:rFonts w:hint="default"/>
      </w:rPr>
    </w:lvl>
    <w:lvl w:ilvl="4">
      <w:start w:val="1"/>
      <w:numFmt w:val="decimal"/>
      <w:lvlText w:val="(%5)"/>
      <w:lvlJc w:val="left"/>
      <w:pPr>
        <w:tabs>
          <w:tab w:val="num" w:pos="3744"/>
        </w:tabs>
        <w:ind w:left="3384" w:firstLine="0"/>
      </w:pPr>
      <w:rPr>
        <w:rFonts w:hint="default"/>
      </w:rPr>
    </w:lvl>
    <w:lvl w:ilvl="5">
      <w:start w:val="1"/>
      <w:numFmt w:val="lowerLetter"/>
      <w:lvlText w:val="(%6)"/>
      <w:lvlJc w:val="left"/>
      <w:pPr>
        <w:tabs>
          <w:tab w:val="num" w:pos="4464"/>
        </w:tabs>
        <w:ind w:left="4104" w:firstLine="0"/>
      </w:pPr>
      <w:rPr>
        <w:rFonts w:hint="default"/>
      </w:rPr>
    </w:lvl>
    <w:lvl w:ilvl="6">
      <w:start w:val="1"/>
      <w:numFmt w:val="lowerRoman"/>
      <w:lvlText w:val="(%7)"/>
      <w:lvlJc w:val="left"/>
      <w:pPr>
        <w:tabs>
          <w:tab w:val="num" w:pos="5184"/>
        </w:tabs>
        <w:ind w:left="4824" w:firstLine="0"/>
      </w:pPr>
      <w:rPr>
        <w:rFonts w:hint="default"/>
      </w:rPr>
    </w:lvl>
    <w:lvl w:ilvl="7">
      <w:start w:val="1"/>
      <w:numFmt w:val="lowerLetter"/>
      <w:lvlText w:val="(%8)"/>
      <w:lvlJc w:val="left"/>
      <w:pPr>
        <w:tabs>
          <w:tab w:val="num" w:pos="5904"/>
        </w:tabs>
        <w:ind w:left="5544" w:firstLine="0"/>
      </w:pPr>
      <w:rPr>
        <w:rFonts w:hint="default"/>
      </w:rPr>
    </w:lvl>
    <w:lvl w:ilvl="8">
      <w:start w:val="1"/>
      <w:numFmt w:val="lowerRoman"/>
      <w:lvlText w:val="(%9)"/>
      <w:lvlJc w:val="left"/>
      <w:pPr>
        <w:tabs>
          <w:tab w:val="num" w:pos="6624"/>
        </w:tabs>
        <w:ind w:left="6264" w:firstLine="0"/>
      </w:pPr>
      <w:rPr>
        <w:rFonts w:hint="default"/>
      </w:rPr>
    </w:lvl>
  </w:abstractNum>
  <w:abstractNum w:abstractNumId="23" w15:restartNumberingAfterBreak="0">
    <w:nsid w:val="446F2501"/>
    <w:multiLevelType w:val="multilevel"/>
    <w:tmpl w:val="29529492"/>
    <w:numStyleLink w:val="ListBulleted"/>
  </w:abstractNum>
  <w:abstractNum w:abstractNumId="24" w15:restartNumberingAfterBreak="0">
    <w:nsid w:val="47705053"/>
    <w:multiLevelType w:val="multilevel"/>
    <w:tmpl w:val="0BDE7F6A"/>
    <w:numStyleLink w:val="StyleOutlinenumbered"/>
  </w:abstractNum>
  <w:abstractNum w:abstractNumId="25" w15:restartNumberingAfterBreak="0">
    <w:nsid w:val="4E183C0A"/>
    <w:multiLevelType w:val="multilevel"/>
    <w:tmpl w:val="0BDE7F6A"/>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4F971047"/>
    <w:multiLevelType w:val="multilevel"/>
    <w:tmpl w:val="29529492"/>
    <w:numStyleLink w:val="ListBulleted"/>
  </w:abstractNum>
  <w:abstractNum w:abstractNumId="27" w15:restartNumberingAfterBreak="0">
    <w:nsid w:val="537E6145"/>
    <w:multiLevelType w:val="multilevel"/>
    <w:tmpl w:val="29529492"/>
    <w:numStyleLink w:val="ListBulleted"/>
  </w:abstractNum>
  <w:abstractNum w:abstractNumId="28" w15:restartNumberingAfterBreak="0">
    <w:nsid w:val="55DF06A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583D7305"/>
    <w:multiLevelType w:val="multilevel"/>
    <w:tmpl w:val="0BDE7F6A"/>
    <w:numStyleLink w:val="StyleOutlinenumbered"/>
  </w:abstractNum>
  <w:abstractNum w:abstractNumId="30" w15:restartNumberingAfterBreak="0">
    <w:nsid w:val="58AB69BF"/>
    <w:multiLevelType w:val="multilevel"/>
    <w:tmpl w:val="0BDE7F6A"/>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98A3D4F"/>
    <w:multiLevelType w:val="multilevel"/>
    <w:tmpl w:val="0BDE7F6A"/>
    <w:numStyleLink w:val="StyleOutlinenumbered"/>
  </w:abstractNum>
  <w:abstractNum w:abstractNumId="32" w15:restartNumberingAfterBreak="0">
    <w:nsid w:val="6025499B"/>
    <w:multiLevelType w:val="multilevel"/>
    <w:tmpl w:val="6CB026C4"/>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936"/>
        </w:tabs>
        <w:ind w:left="936" w:hanging="936"/>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224"/>
        </w:tabs>
        <w:ind w:left="1224" w:hanging="1224"/>
      </w:pPr>
      <w:rPr>
        <w:rFonts w:hint="default"/>
      </w:rPr>
    </w:lvl>
    <w:lvl w:ilvl="4">
      <w:start w:val="1"/>
      <w:numFmt w:val="decimal"/>
      <w:lvlText w:val="%1.%2.%3.%4.%5"/>
      <w:lvlJc w:val="left"/>
      <w:pPr>
        <w:tabs>
          <w:tab w:val="num" w:pos="1368"/>
        </w:tabs>
        <w:ind w:left="1368" w:hanging="1368"/>
      </w:pPr>
      <w:rPr>
        <w:rFonts w:hint="default"/>
      </w:rPr>
    </w:lvl>
    <w:lvl w:ilvl="5">
      <w:start w:val="1"/>
      <w:numFmt w:val="decimal"/>
      <w:lvlText w:val="%1.%2.%3.%4.%5.%6"/>
      <w:lvlJc w:val="left"/>
      <w:pPr>
        <w:tabs>
          <w:tab w:val="num" w:pos="1512"/>
        </w:tabs>
        <w:ind w:left="1512" w:hanging="1512"/>
      </w:pPr>
      <w:rPr>
        <w:rFonts w:hint="default"/>
      </w:rPr>
    </w:lvl>
    <w:lvl w:ilvl="6">
      <w:start w:val="1"/>
      <w:numFmt w:val="decimal"/>
      <w:lvlText w:val="%1.%2.%3.%4.%5.%6.%7"/>
      <w:lvlJc w:val="left"/>
      <w:pPr>
        <w:tabs>
          <w:tab w:val="num" w:pos="1656"/>
        </w:tabs>
        <w:ind w:left="1656" w:hanging="1656"/>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944"/>
        </w:tabs>
        <w:ind w:left="1944" w:hanging="1944"/>
      </w:pPr>
      <w:rPr>
        <w:rFonts w:hint="default"/>
      </w:rPr>
    </w:lvl>
  </w:abstractNum>
  <w:abstractNum w:abstractNumId="33" w15:restartNumberingAfterBreak="0">
    <w:nsid w:val="62802060"/>
    <w:multiLevelType w:val="multilevel"/>
    <w:tmpl w:val="E30E3590"/>
    <w:numStyleLink w:val="ListOutlineNumbered"/>
  </w:abstractNum>
  <w:abstractNum w:abstractNumId="34" w15:restartNumberingAfterBreak="0">
    <w:nsid w:val="6434688D"/>
    <w:multiLevelType w:val="hybridMultilevel"/>
    <w:tmpl w:val="D0CEE7FA"/>
    <w:lvl w:ilvl="0" w:tplc="372C197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1472DC"/>
    <w:multiLevelType w:val="multilevel"/>
    <w:tmpl w:val="0BDE7F6A"/>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658C08DB"/>
    <w:multiLevelType w:val="multilevel"/>
    <w:tmpl w:val="0BDE7F6A"/>
    <w:styleLink w:val="StyleOutlinenumbered"/>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66E070B3"/>
    <w:multiLevelType w:val="multilevel"/>
    <w:tmpl w:val="29529492"/>
    <w:styleLink w:val="ListBulleted"/>
    <w:lvl w:ilvl="0">
      <w:start w:val="1"/>
      <w:numFmt w:val="bullet"/>
      <w:lvlText w:val=""/>
      <w:lvlJc w:val="left"/>
      <w:pPr>
        <w:tabs>
          <w:tab w:val="num" w:pos="504"/>
        </w:tabs>
        <w:ind w:left="504" w:hanging="504"/>
      </w:pPr>
      <w:rPr>
        <w:rFonts w:ascii="Wingdings" w:hAnsi="Wingdings" w:hint="default"/>
      </w:rPr>
    </w:lvl>
    <w:lvl w:ilvl="1">
      <w:start w:val="1"/>
      <w:numFmt w:val="bullet"/>
      <w:lvlText w:val=""/>
      <w:lvlJc w:val="left"/>
      <w:pPr>
        <w:tabs>
          <w:tab w:val="num" w:pos="1008"/>
        </w:tabs>
        <w:ind w:left="1008" w:hanging="504"/>
      </w:pPr>
      <w:rPr>
        <w:rFonts w:ascii="Wingdings" w:hAnsi="Wingdings" w:hint="default"/>
      </w:rPr>
    </w:lvl>
    <w:lvl w:ilvl="2">
      <w:start w:val="1"/>
      <w:numFmt w:val="bullet"/>
      <w:lvlText w:val=""/>
      <w:lvlJc w:val="left"/>
      <w:pPr>
        <w:tabs>
          <w:tab w:val="num" w:pos="1512"/>
        </w:tabs>
        <w:ind w:left="1512" w:hanging="504"/>
      </w:pPr>
      <w:rPr>
        <w:rFonts w:ascii="Wingdings" w:hAnsi="Wingdings" w:hint="default"/>
      </w:rPr>
    </w:lvl>
    <w:lvl w:ilvl="3">
      <w:start w:val="1"/>
      <w:numFmt w:val="bullet"/>
      <w:lvlText w:val=""/>
      <w:lvlJc w:val="left"/>
      <w:pPr>
        <w:tabs>
          <w:tab w:val="num" w:pos="2016"/>
        </w:tabs>
        <w:ind w:left="2016" w:hanging="504"/>
      </w:pPr>
      <w:rPr>
        <w:rFonts w:ascii="Wingdings" w:hAnsi="Wingding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854332A"/>
    <w:multiLevelType w:val="multilevel"/>
    <w:tmpl w:val="9A4CBF2E"/>
    <w:lvl w:ilvl="0">
      <w:start w:val="1"/>
      <w:numFmt w:val="decimal"/>
      <w:lvlText w:val="%1."/>
      <w:lvlJc w:val="left"/>
      <w:pPr>
        <w:tabs>
          <w:tab w:val="num" w:pos="504"/>
        </w:tabs>
        <w:ind w:left="504" w:hanging="504"/>
      </w:pPr>
      <w:rPr>
        <w:rFonts w:hint="default"/>
        <w:kern w:val="22"/>
        <w:sz w:val="22"/>
      </w:rPr>
    </w:lvl>
    <w:lvl w:ilvl="1">
      <w:start w:val="1"/>
      <w:numFmt w:val="lowerLetter"/>
      <w:lvlText w:val="%2."/>
      <w:lvlJc w:val="left"/>
      <w:pPr>
        <w:tabs>
          <w:tab w:val="num" w:pos="1008"/>
        </w:tabs>
        <w:ind w:left="1008" w:hanging="504"/>
      </w:pPr>
      <w:rPr>
        <w:rFonts w:hint="default"/>
        <w:sz w:val="22"/>
      </w:rPr>
    </w:lvl>
    <w:lvl w:ilvl="2">
      <w:start w:val="1"/>
      <w:numFmt w:val="lowerRoman"/>
      <w:lvlText w:val="%3."/>
      <w:lvlJc w:val="left"/>
      <w:pPr>
        <w:tabs>
          <w:tab w:val="num" w:pos="1512"/>
        </w:tabs>
        <w:ind w:left="1512"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9" w15:restartNumberingAfterBreak="0">
    <w:nsid w:val="68D048A3"/>
    <w:multiLevelType w:val="multilevel"/>
    <w:tmpl w:val="22883D72"/>
    <w:styleLink w:val="ListBulletedIndented"/>
    <w:lvl w:ilvl="0">
      <w:start w:val="1"/>
      <w:numFmt w:val="bullet"/>
      <w:lvlText w:val=""/>
      <w:lvlJc w:val="left"/>
      <w:pPr>
        <w:tabs>
          <w:tab w:val="num" w:pos="1008"/>
        </w:tabs>
        <w:ind w:left="1008" w:hanging="504"/>
      </w:pPr>
      <w:rPr>
        <w:rFonts w:ascii="Wingdings" w:hAnsi="Wingdings" w:hint="default"/>
      </w:rPr>
    </w:lvl>
    <w:lvl w:ilvl="1">
      <w:start w:val="1"/>
      <w:numFmt w:val="bullet"/>
      <w:lvlText w:val=""/>
      <w:lvlJc w:val="left"/>
      <w:pPr>
        <w:tabs>
          <w:tab w:val="num" w:pos="1512"/>
        </w:tabs>
        <w:ind w:left="1512" w:hanging="504"/>
      </w:pPr>
      <w:rPr>
        <w:rFonts w:ascii="Wingdings" w:hAnsi="Wingdings" w:hint="default"/>
      </w:rPr>
    </w:lvl>
    <w:lvl w:ilvl="2">
      <w:start w:val="1"/>
      <w:numFmt w:val="bullet"/>
      <w:lvlText w:val=""/>
      <w:lvlJc w:val="left"/>
      <w:pPr>
        <w:tabs>
          <w:tab w:val="num" w:pos="2016"/>
        </w:tabs>
        <w:ind w:left="2016" w:hanging="504"/>
      </w:pPr>
      <w:rPr>
        <w:rFonts w:ascii="Wingdings" w:hAnsi="Wingdings" w:hint="default"/>
      </w:rPr>
    </w:lvl>
    <w:lvl w:ilvl="3">
      <w:start w:val="1"/>
      <w:numFmt w:val="bullet"/>
      <w:lvlText w:val=""/>
      <w:lvlJc w:val="left"/>
      <w:pPr>
        <w:tabs>
          <w:tab w:val="num" w:pos="2520"/>
        </w:tabs>
        <w:ind w:left="2520" w:hanging="504"/>
      </w:pPr>
      <w:rPr>
        <w:rFonts w:ascii="Wingdings" w:hAnsi="Wingdings" w:hint="default"/>
      </w:rPr>
    </w:lvl>
    <w:lvl w:ilvl="4">
      <w:start w:val="1"/>
      <w:numFmt w:val="bullet"/>
      <w:lvlText w:val=""/>
      <w:lvlJc w:val="left"/>
      <w:pPr>
        <w:tabs>
          <w:tab w:val="num" w:pos="2304"/>
        </w:tabs>
        <w:ind w:left="2304" w:hanging="360"/>
      </w:pPr>
      <w:rPr>
        <w:rFonts w:ascii="Symbol" w:hAnsi="Symbol" w:hint="default"/>
      </w:rPr>
    </w:lvl>
    <w:lvl w:ilvl="5">
      <w:start w:val="1"/>
      <w:numFmt w:val="bullet"/>
      <w:lvlText w:val=""/>
      <w:lvlJc w:val="left"/>
      <w:pPr>
        <w:tabs>
          <w:tab w:val="num" w:pos="2664"/>
        </w:tabs>
        <w:ind w:left="2664" w:hanging="360"/>
      </w:pPr>
      <w:rPr>
        <w:rFonts w:ascii="Wingdings" w:hAnsi="Wingdings" w:hint="default"/>
      </w:rPr>
    </w:lvl>
    <w:lvl w:ilvl="6">
      <w:start w:val="1"/>
      <w:numFmt w:val="bullet"/>
      <w:lvlText w:val=""/>
      <w:lvlJc w:val="left"/>
      <w:pPr>
        <w:tabs>
          <w:tab w:val="num" w:pos="3024"/>
        </w:tabs>
        <w:ind w:left="3024" w:hanging="360"/>
      </w:pPr>
      <w:rPr>
        <w:rFonts w:ascii="Wingdings" w:hAnsi="Wingdings" w:hint="default"/>
      </w:rPr>
    </w:lvl>
    <w:lvl w:ilvl="7">
      <w:start w:val="1"/>
      <w:numFmt w:val="bullet"/>
      <w:lvlText w:val=""/>
      <w:lvlJc w:val="left"/>
      <w:pPr>
        <w:tabs>
          <w:tab w:val="num" w:pos="3384"/>
        </w:tabs>
        <w:ind w:left="3384" w:hanging="360"/>
      </w:pPr>
      <w:rPr>
        <w:rFonts w:ascii="Symbol" w:hAnsi="Symbol" w:hint="default"/>
      </w:rPr>
    </w:lvl>
    <w:lvl w:ilvl="8">
      <w:start w:val="1"/>
      <w:numFmt w:val="bullet"/>
      <w:lvlText w:val=""/>
      <w:lvlJc w:val="left"/>
      <w:pPr>
        <w:tabs>
          <w:tab w:val="num" w:pos="3744"/>
        </w:tabs>
        <w:ind w:left="3744" w:hanging="360"/>
      </w:pPr>
      <w:rPr>
        <w:rFonts w:ascii="Symbol" w:hAnsi="Symbol" w:hint="default"/>
      </w:rPr>
    </w:lvl>
  </w:abstractNum>
  <w:abstractNum w:abstractNumId="40" w15:restartNumberingAfterBreak="0">
    <w:nsid w:val="696B700C"/>
    <w:multiLevelType w:val="multilevel"/>
    <w:tmpl w:val="50EE0E1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828"/>
        </w:tabs>
        <w:ind w:left="828" w:hanging="648"/>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D7E59F0"/>
    <w:multiLevelType w:val="multilevel"/>
    <w:tmpl w:val="50EE0E1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648"/>
        </w:tabs>
        <w:ind w:left="648" w:hanging="648"/>
      </w:pPr>
      <w:rPr>
        <w:rFonts w:hint="default"/>
      </w:rPr>
    </w:lvl>
    <w:lvl w:ilvl="2">
      <w:start w:val="1"/>
      <w:numFmt w:val="decimal"/>
      <w:pStyle w:val="Heading3"/>
      <w:lvlText w:val="%1.%2.%3."/>
      <w:lvlJc w:val="left"/>
      <w:pPr>
        <w:tabs>
          <w:tab w:val="num" w:pos="864"/>
        </w:tabs>
        <w:ind w:left="864" w:hanging="864"/>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2" w15:restartNumberingAfterBreak="0">
    <w:nsid w:val="71D410A6"/>
    <w:multiLevelType w:val="multilevel"/>
    <w:tmpl w:val="0BDE7F6A"/>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71DB3044"/>
    <w:multiLevelType w:val="multilevel"/>
    <w:tmpl w:val="9A4CBF2E"/>
    <w:styleLink w:val="StyleCharOutlinenumbered"/>
    <w:lvl w:ilvl="0">
      <w:start w:val="1"/>
      <w:numFmt w:val="decimal"/>
      <w:lvlText w:val="%1."/>
      <w:lvlJc w:val="left"/>
      <w:pPr>
        <w:tabs>
          <w:tab w:val="num" w:pos="504"/>
        </w:tabs>
        <w:ind w:left="504" w:hanging="504"/>
      </w:pPr>
      <w:rPr>
        <w:rFonts w:hint="default"/>
        <w:kern w:val="22"/>
        <w:sz w:val="22"/>
      </w:rPr>
    </w:lvl>
    <w:lvl w:ilvl="1">
      <w:start w:val="1"/>
      <w:numFmt w:val="lowerLetter"/>
      <w:lvlText w:val="%2."/>
      <w:lvlJc w:val="left"/>
      <w:pPr>
        <w:tabs>
          <w:tab w:val="num" w:pos="1008"/>
        </w:tabs>
        <w:ind w:left="1008" w:hanging="504"/>
      </w:pPr>
      <w:rPr>
        <w:rFonts w:hint="default"/>
        <w:sz w:val="22"/>
      </w:rPr>
    </w:lvl>
    <w:lvl w:ilvl="2">
      <w:start w:val="1"/>
      <w:numFmt w:val="lowerRoman"/>
      <w:lvlText w:val="%3."/>
      <w:lvlJc w:val="left"/>
      <w:pPr>
        <w:tabs>
          <w:tab w:val="num" w:pos="1512"/>
        </w:tabs>
        <w:ind w:left="1512"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4" w15:restartNumberingAfterBreak="0">
    <w:nsid w:val="72C94B69"/>
    <w:multiLevelType w:val="multilevel"/>
    <w:tmpl w:val="29529492"/>
    <w:numStyleLink w:val="ListBulleted"/>
  </w:abstractNum>
  <w:abstractNum w:abstractNumId="45" w15:restartNumberingAfterBreak="0">
    <w:nsid w:val="748566ED"/>
    <w:multiLevelType w:val="hybridMultilevel"/>
    <w:tmpl w:val="8C2A8880"/>
    <w:lvl w:ilvl="0" w:tplc="3B3A853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62539B6"/>
    <w:multiLevelType w:val="hybridMultilevel"/>
    <w:tmpl w:val="C4A0BA78"/>
    <w:lvl w:ilvl="0" w:tplc="029E9EB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916C8A"/>
    <w:multiLevelType w:val="multilevel"/>
    <w:tmpl w:val="0BDE7F6A"/>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08"/>
        </w:tabs>
        <w:ind w:left="1008" w:hanging="504"/>
      </w:pPr>
      <w:rPr>
        <w:rFonts w:hint="default"/>
        <w:sz w:val="22"/>
      </w:rPr>
    </w:lvl>
    <w:lvl w:ilvl="2">
      <w:start w:val="1"/>
      <w:numFmt w:val="decimal"/>
      <w:lvlText w:val="%1.%2.%3."/>
      <w:lvlJc w:val="left"/>
      <w:pPr>
        <w:tabs>
          <w:tab w:val="num" w:pos="1512"/>
        </w:tabs>
        <w:ind w:left="1512" w:hanging="504"/>
      </w:pPr>
      <w:rPr>
        <w:rFonts w:hint="default"/>
      </w:rPr>
    </w:lvl>
    <w:lvl w:ilvl="3">
      <w:start w:val="1"/>
      <w:numFmt w:val="decimal"/>
      <w:lvlText w:val="%1.%2.%3.%4."/>
      <w:lvlJc w:val="left"/>
      <w:pPr>
        <w:tabs>
          <w:tab w:val="num" w:pos="2016"/>
        </w:tabs>
        <w:ind w:left="2016" w:hanging="504"/>
      </w:pPr>
      <w:rPr>
        <w:rFonts w:hint="default"/>
      </w:rPr>
    </w:lvl>
    <w:lvl w:ilvl="4">
      <w:start w:val="1"/>
      <w:numFmt w:val="decimal"/>
      <w:lvlText w:val="%1.%2.%3.%4.%5."/>
      <w:lvlJc w:val="left"/>
      <w:pPr>
        <w:tabs>
          <w:tab w:val="num" w:pos="2520"/>
        </w:tabs>
        <w:ind w:left="2520" w:hanging="504"/>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8" w15:restartNumberingAfterBreak="0">
    <w:nsid w:val="78A35D45"/>
    <w:multiLevelType w:val="multilevel"/>
    <w:tmpl w:val="0BDE7F6A"/>
    <w:numStyleLink w:val="StyleOutlinenumbered"/>
  </w:abstractNum>
  <w:abstractNum w:abstractNumId="49" w15:restartNumberingAfterBreak="0">
    <w:nsid w:val="7E0024D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1"/>
  </w:num>
  <w:num w:numId="2">
    <w:abstractNumId w:val="37"/>
  </w:num>
  <w:num w:numId="3">
    <w:abstractNumId w:val="39"/>
  </w:num>
  <w:num w:numId="4">
    <w:abstractNumId w:val="22"/>
  </w:num>
  <w:num w:numId="5">
    <w:abstractNumId w:val="12"/>
  </w:num>
  <w:num w:numId="6">
    <w:abstractNumId w:val="19"/>
  </w:num>
  <w:num w:numId="7">
    <w:abstractNumId w:val="45"/>
  </w:num>
  <w:num w:numId="8">
    <w:abstractNumId w:val="46"/>
  </w:num>
  <w:num w:numId="9">
    <w:abstractNumId w:val="34"/>
  </w:num>
  <w:num w:numId="10">
    <w:abstractNumId w:val="3"/>
  </w:num>
  <w:num w:numId="11">
    <w:abstractNumId w:val="4"/>
  </w:num>
  <w:num w:numId="12">
    <w:abstractNumId w:val="7"/>
  </w:num>
  <w:num w:numId="13">
    <w:abstractNumId w:val="13"/>
  </w:num>
  <w:num w:numId="14">
    <w:abstractNumId w:val="47"/>
  </w:num>
  <w:num w:numId="15">
    <w:abstractNumId w:val="9"/>
  </w:num>
  <w:num w:numId="16">
    <w:abstractNumId w:val="20"/>
  </w:num>
  <w:num w:numId="17">
    <w:abstractNumId w:val="32"/>
  </w:num>
  <w:num w:numId="18">
    <w:abstractNumId w:val="42"/>
  </w:num>
  <w:num w:numId="19">
    <w:abstractNumId w:val="16"/>
  </w:num>
  <w:num w:numId="20">
    <w:abstractNumId w:val="11"/>
  </w:num>
  <w:num w:numId="21">
    <w:abstractNumId w:val="30"/>
  </w:num>
  <w:num w:numId="22">
    <w:abstractNumId w:val="1"/>
  </w:num>
  <w:num w:numId="23">
    <w:abstractNumId w:val="49"/>
  </w:num>
  <w:num w:numId="24">
    <w:abstractNumId w:val="28"/>
  </w:num>
  <w:num w:numId="25">
    <w:abstractNumId w:val="0"/>
  </w:num>
  <w:num w:numId="26">
    <w:abstractNumId w:val="38"/>
  </w:num>
  <w:num w:numId="27">
    <w:abstractNumId w:val="6"/>
  </w:num>
  <w:num w:numId="28">
    <w:abstractNumId w:val="25"/>
  </w:num>
  <w:num w:numId="29">
    <w:abstractNumId w:val="35"/>
  </w:num>
  <w:num w:numId="30">
    <w:abstractNumId w:val="18"/>
  </w:num>
  <w:num w:numId="31">
    <w:abstractNumId w:val="36"/>
  </w:num>
  <w:num w:numId="32">
    <w:abstractNumId w:val="43"/>
  </w:num>
  <w:num w:numId="33">
    <w:abstractNumId w:val="24"/>
  </w:num>
  <w:num w:numId="34">
    <w:abstractNumId w:val="48"/>
  </w:num>
  <w:num w:numId="35">
    <w:abstractNumId w:val="29"/>
  </w:num>
  <w:num w:numId="36">
    <w:abstractNumId w:val="31"/>
  </w:num>
  <w:num w:numId="37">
    <w:abstractNumId w:val="33"/>
  </w:num>
  <w:num w:numId="38">
    <w:abstractNumId w:val="10"/>
  </w:num>
  <w:num w:numId="39">
    <w:abstractNumId w:val="26"/>
  </w:num>
  <w:num w:numId="40">
    <w:abstractNumId w:val="21"/>
  </w:num>
  <w:num w:numId="41">
    <w:abstractNumId w:val="5"/>
  </w:num>
  <w:num w:numId="42">
    <w:abstractNumId w:val="2"/>
  </w:num>
  <w:num w:numId="43">
    <w:abstractNumId w:val="40"/>
  </w:num>
  <w:num w:numId="44">
    <w:abstractNumId w:val="17"/>
  </w:num>
  <w:num w:numId="45">
    <w:abstractNumId w:val="14"/>
  </w:num>
  <w:num w:numId="46">
    <w:abstractNumId w:val="27"/>
  </w:num>
  <w:num w:numId="47">
    <w:abstractNumId w:val="44"/>
  </w:num>
  <w:num w:numId="48">
    <w:abstractNumId w:val="23"/>
  </w:num>
  <w:num w:numId="49">
    <w:abstractNumId w:val="8"/>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AE6"/>
    <w:rsid w:val="000009FB"/>
    <w:rsid w:val="00001351"/>
    <w:rsid w:val="000114FE"/>
    <w:rsid w:val="00015CC7"/>
    <w:rsid w:val="0002053F"/>
    <w:rsid w:val="00020F28"/>
    <w:rsid w:val="00021B07"/>
    <w:rsid w:val="00025CD0"/>
    <w:rsid w:val="00030081"/>
    <w:rsid w:val="00047DFF"/>
    <w:rsid w:val="00047F28"/>
    <w:rsid w:val="00057387"/>
    <w:rsid w:val="000631E9"/>
    <w:rsid w:val="00064BA0"/>
    <w:rsid w:val="00067B18"/>
    <w:rsid w:val="00077BD3"/>
    <w:rsid w:val="0008005D"/>
    <w:rsid w:val="00083CE5"/>
    <w:rsid w:val="000906B1"/>
    <w:rsid w:val="00090E6F"/>
    <w:rsid w:val="000940B5"/>
    <w:rsid w:val="000954D0"/>
    <w:rsid w:val="000967A5"/>
    <w:rsid w:val="000A17AA"/>
    <w:rsid w:val="000B0C54"/>
    <w:rsid w:val="000B34B7"/>
    <w:rsid w:val="000B4C43"/>
    <w:rsid w:val="000D084C"/>
    <w:rsid w:val="000D1D0B"/>
    <w:rsid w:val="000D2B4F"/>
    <w:rsid w:val="000E1158"/>
    <w:rsid w:val="000E5C46"/>
    <w:rsid w:val="000E6998"/>
    <w:rsid w:val="00101F4D"/>
    <w:rsid w:val="001060BD"/>
    <w:rsid w:val="0011066D"/>
    <w:rsid w:val="00111C60"/>
    <w:rsid w:val="00115FA3"/>
    <w:rsid w:val="00126372"/>
    <w:rsid w:val="00133C43"/>
    <w:rsid w:val="00137098"/>
    <w:rsid w:val="00140EB0"/>
    <w:rsid w:val="00140F82"/>
    <w:rsid w:val="00141450"/>
    <w:rsid w:val="001523BD"/>
    <w:rsid w:val="001663DA"/>
    <w:rsid w:val="001705E3"/>
    <w:rsid w:val="00170CD3"/>
    <w:rsid w:val="0017386A"/>
    <w:rsid w:val="00174918"/>
    <w:rsid w:val="00175906"/>
    <w:rsid w:val="001775BE"/>
    <w:rsid w:val="001809DB"/>
    <w:rsid w:val="001862BC"/>
    <w:rsid w:val="001916FD"/>
    <w:rsid w:val="00195DAD"/>
    <w:rsid w:val="001A2F6A"/>
    <w:rsid w:val="001B5D65"/>
    <w:rsid w:val="001B76F1"/>
    <w:rsid w:val="001D263B"/>
    <w:rsid w:val="001D49FB"/>
    <w:rsid w:val="001E1348"/>
    <w:rsid w:val="001E369E"/>
    <w:rsid w:val="001E48D3"/>
    <w:rsid w:val="001F02B9"/>
    <w:rsid w:val="00202972"/>
    <w:rsid w:val="0020687C"/>
    <w:rsid w:val="00206D5E"/>
    <w:rsid w:val="00210872"/>
    <w:rsid w:val="00215087"/>
    <w:rsid w:val="00215591"/>
    <w:rsid w:val="00222B31"/>
    <w:rsid w:val="00223548"/>
    <w:rsid w:val="00227909"/>
    <w:rsid w:val="00230D68"/>
    <w:rsid w:val="00234B88"/>
    <w:rsid w:val="00234FEA"/>
    <w:rsid w:val="00242423"/>
    <w:rsid w:val="00250D32"/>
    <w:rsid w:val="00252E20"/>
    <w:rsid w:val="00255BA4"/>
    <w:rsid w:val="00256A18"/>
    <w:rsid w:val="00256CB2"/>
    <w:rsid w:val="00272F6A"/>
    <w:rsid w:val="0027446F"/>
    <w:rsid w:val="00274D69"/>
    <w:rsid w:val="00277D31"/>
    <w:rsid w:val="002800D2"/>
    <w:rsid w:val="002840B6"/>
    <w:rsid w:val="002858DE"/>
    <w:rsid w:val="002A1FC9"/>
    <w:rsid w:val="002A66A0"/>
    <w:rsid w:val="002A7257"/>
    <w:rsid w:val="002B0287"/>
    <w:rsid w:val="002B4603"/>
    <w:rsid w:val="002C257F"/>
    <w:rsid w:val="002C32E9"/>
    <w:rsid w:val="002C4C34"/>
    <w:rsid w:val="002D23B6"/>
    <w:rsid w:val="002E3389"/>
    <w:rsid w:val="002E53ED"/>
    <w:rsid w:val="002E6CFA"/>
    <w:rsid w:val="002F341A"/>
    <w:rsid w:val="002F383A"/>
    <w:rsid w:val="002F427F"/>
    <w:rsid w:val="0031079E"/>
    <w:rsid w:val="0031181D"/>
    <w:rsid w:val="00313139"/>
    <w:rsid w:val="0031323D"/>
    <w:rsid w:val="003237FE"/>
    <w:rsid w:val="00324CAE"/>
    <w:rsid w:val="0032547D"/>
    <w:rsid w:val="003306F3"/>
    <w:rsid w:val="00335736"/>
    <w:rsid w:val="003554C1"/>
    <w:rsid w:val="00356F16"/>
    <w:rsid w:val="0035745D"/>
    <w:rsid w:val="00360A0E"/>
    <w:rsid w:val="00365D94"/>
    <w:rsid w:val="0036670A"/>
    <w:rsid w:val="00377E09"/>
    <w:rsid w:val="0038574F"/>
    <w:rsid w:val="00391E38"/>
    <w:rsid w:val="003A173F"/>
    <w:rsid w:val="003A6162"/>
    <w:rsid w:val="003A68BA"/>
    <w:rsid w:val="003A76C3"/>
    <w:rsid w:val="003A7B6F"/>
    <w:rsid w:val="003B2E42"/>
    <w:rsid w:val="003B46AC"/>
    <w:rsid w:val="003B5D31"/>
    <w:rsid w:val="003C47E1"/>
    <w:rsid w:val="003C5183"/>
    <w:rsid w:val="003D30C1"/>
    <w:rsid w:val="003D48E8"/>
    <w:rsid w:val="003D4B94"/>
    <w:rsid w:val="003E469F"/>
    <w:rsid w:val="003E77D9"/>
    <w:rsid w:val="003F0C33"/>
    <w:rsid w:val="003F2700"/>
    <w:rsid w:val="003F3F5A"/>
    <w:rsid w:val="003F58CC"/>
    <w:rsid w:val="004003DD"/>
    <w:rsid w:val="0040176A"/>
    <w:rsid w:val="00412309"/>
    <w:rsid w:val="00415726"/>
    <w:rsid w:val="004314FE"/>
    <w:rsid w:val="00437346"/>
    <w:rsid w:val="00450038"/>
    <w:rsid w:val="00455362"/>
    <w:rsid w:val="00462463"/>
    <w:rsid w:val="00463677"/>
    <w:rsid w:val="00465A10"/>
    <w:rsid w:val="004725CE"/>
    <w:rsid w:val="00475B6A"/>
    <w:rsid w:val="00483E78"/>
    <w:rsid w:val="004845B5"/>
    <w:rsid w:val="00486FCE"/>
    <w:rsid w:val="00492975"/>
    <w:rsid w:val="004A3E05"/>
    <w:rsid w:val="004A3FBF"/>
    <w:rsid w:val="004A405F"/>
    <w:rsid w:val="004A40CA"/>
    <w:rsid w:val="004A42B8"/>
    <w:rsid w:val="004A534D"/>
    <w:rsid w:val="004B3984"/>
    <w:rsid w:val="004B4BCE"/>
    <w:rsid w:val="004B75E2"/>
    <w:rsid w:val="004C5F21"/>
    <w:rsid w:val="004C7265"/>
    <w:rsid w:val="004C75B8"/>
    <w:rsid w:val="004D0C89"/>
    <w:rsid w:val="004D4972"/>
    <w:rsid w:val="004E4698"/>
    <w:rsid w:val="004E5340"/>
    <w:rsid w:val="0050276E"/>
    <w:rsid w:val="00502F82"/>
    <w:rsid w:val="00507AE6"/>
    <w:rsid w:val="00511DBB"/>
    <w:rsid w:val="00512C92"/>
    <w:rsid w:val="00515C0A"/>
    <w:rsid w:val="00522B92"/>
    <w:rsid w:val="005236F0"/>
    <w:rsid w:val="00524C1F"/>
    <w:rsid w:val="0053728D"/>
    <w:rsid w:val="005400CF"/>
    <w:rsid w:val="00547E2B"/>
    <w:rsid w:val="00552415"/>
    <w:rsid w:val="005539F4"/>
    <w:rsid w:val="00553B3F"/>
    <w:rsid w:val="00560B77"/>
    <w:rsid w:val="00561EDF"/>
    <w:rsid w:val="0056351B"/>
    <w:rsid w:val="00572DC8"/>
    <w:rsid w:val="00573043"/>
    <w:rsid w:val="00575521"/>
    <w:rsid w:val="00575546"/>
    <w:rsid w:val="005919ED"/>
    <w:rsid w:val="00593673"/>
    <w:rsid w:val="00594479"/>
    <w:rsid w:val="005C0124"/>
    <w:rsid w:val="005D39C5"/>
    <w:rsid w:val="005E0E50"/>
    <w:rsid w:val="005E4918"/>
    <w:rsid w:val="005F3B7A"/>
    <w:rsid w:val="005F4D41"/>
    <w:rsid w:val="006045CC"/>
    <w:rsid w:val="00604648"/>
    <w:rsid w:val="00605B19"/>
    <w:rsid w:val="0061210F"/>
    <w:rsid w:val="006151C0"/>
    <w:rsid w:val="00617585"/>
    <w:rsid w:val="0062160B"/>
    <w:rsid w:val="00623C9E"/>
    <w:rsid w:val="00624CDE"/>
    <w:rsid w:val="006402CD"/>
    <w:rsid w:val="0064254D"/>
    <w:rsid w:val="006438B9"/>
    <w:rsid w:val="00645ECF"/>
    <w:rsid w:val="00646133"/>
    <w:rsid w:val="006461B2"/>
    <w:rsid w:val="006508B3"/>
    <w:rsid w:val="00651FD3"/>
    <w:rsid w:val="00654BC1"/>
    <w:rsid w:val="0065711D"/>
    <w:rsid w:val="0066717B"/>
    <w:rsid w:val="00670E80"/>
    <w:rsid w:val="006745C8"/>
    <w:rsid w:val="00675D16"/>
    <w:rsid w:val="00680680"/>
    <w:rsid w:val="00684B9B"/>
    <w:rsid w:val="00685EF8"/>
    <w:rsid w:val="006A0259"/>
    <w:rsid w:val="006A1ABF"/>
    <w:rsid w:val="006A1E1D"/>
    <w:rsid w:val="006B6672"/>
    <w:rsid w:val="006C4C38"/>
    <w:rsid w:val="006C7E94"/>
    <w:rsid w:val="006E2A0E"/>
    <w:rsid w:val="006E3766"/>
    <w:rsid w:val="006E59EA"/>
    <w:rsid w:val="006E7B45"/>
    <w:rsid w:val="006F369C"/>
    <w:rsid w:val="006F46E8"/>
    <w:rsid w:val="006F4C73"/>
    <w:rsid w:val="006F740B"/>
    <w:rsid w:val="007011F5"/>
    <w:rsid w:val="00701279"/>
    <w:rsid w:val="00705711"/>
    <w:rsid w:val="00710F3E"/>
    <w:rsid w:val="00713D23"/>
    <w:rsid w:val="00724522"/>
    <w:rsid w:val="00731031"/>
    <w:rsid w:val="0073613B"/>
    <w:rsid w:val="0073758A"/>
    <w:rsid w:val="00743ADF"/>
    <w:rsid w:val="00744497"/>
    <w:rsid w:val="007640AA"/>
    <w:rsid w:val="00765C33"/>
    <w:rsid w:val="00767A26"/>
    <w:rsid w:val="007700BB"/>
    <w:rsid w:val="00770299"/>
    <w:rsid w:val="0077061A"/>
    <w:rsid w:val="00770BCA"/>
    <w:rsid w:val="00775E20"/>
    <w:rsid w:val="00776CAA"/>
    <w:rsid w:val="007857E1"/>
    <w:rsid w:val="00785D61"/>
    <w:rsid w:val="007954FB"/>
    <w:rsid w:val="007B035E"/>
    <w:rsid w:val="007B05EF"/>
    <w:rsid w:val="007B211D"/>
    <w:rsid w:val="007E200C"/>
    <w:rsid w:val="007E68BB"/>
    <w:rsid w:val="007E68D2"/>
    <w:rsid w:val="007E72AF"/>
    <w:rsid w:val="007F030B"/>
    <w:rsid w:val="007F3A53"/>
    <w:rsid w:val="00820A65"/>
    <w:rsid w:val="0084272E"/>
    <w:rsid w:val="008551A2"/>
    <w:rsid w:val="00860A79"/>
    <w:rsid w:val="008644B1"/>
    <w:rsid w:val="00864ED5"/>
    <w:rsid w:val="00867C16"/>
    <w:rsid w:val="0087181D"/>
    <w:rsid w:val="008751EB"/>
    <w:rsid w:val="00876881"/>
    <w:rsid w:val="0088422B"/>
    <w:rsid w:val="00886154"/>
    <w:rsid w:val="00890F6E"/>
    <w:rsid w:val="00895B0F"/>
    <w:rsid w:val="00895C39"/>
    <w:rsid w:val="008A0465"/>
    <w:rsid w:val="008A046C"/>
    <w:rsid w:val="008A0EB9"/>
    <w:rsid w:val="008A21D6"/>
    <w:rsid w:val="008B1EA8"/>
    <w:rsid w:val="008B6BC6"/>
    <w:rsid w:val="008D75C3"/>
    <w:rsid w:val="008E2B79"/>
    <w:rsid w:val="008E3AE3"/>
    <w:rsid w:val="008E3B71"/>
    <w:rsid w:val="008E7786"/>
    <w:rsid w:val="008F2AD8"/>
    <w:rsid w:val="008F330E"/>
    <w:rsid w:val="00914C9D"/>
    <w:rsid w:val="00920BEA"/>
    <w:rsid w:val="00923F53"/>
    <w:rsid w:val="00925175"/>
    <w:rsid w:val="009267ED"/>
    <w:rsid w:val="009300CC"/>
    <w:rsid w:val="00931B73"/>
    <w:rsid w:val="00950134"/>
    <w:rsid w:val="00955D28"/>
    <w:rsid w:val="00957B4B"/>
    <w:rsid w:val="00970EC0"/>
    <w:rsid w:val="00971FA0"/>
    <w:rsid w:val="009761E6"/>
    <w:rsid w:val="009773E9"/>
    <w:rsid w:val="00985EED"/>
    <w:rsid w:val="00990D35"/>
    <w:rsid w:val="00994A30"/>
    <w:rsid w:val="0099579A"/>
    <w:rsid w:val="00997C02"/>
    <w:rsid w:val="009A4546"/>
    <w:rsid w:val="009B66D7"/>
    <w:rsid w:val="009C2F2F"/>
    <w:rsid w:val="009C7276"/>
    <w:rsid w:val="009C740D"/>
    <w:rsid w:val="009C7AEB"/>
    <w:rsid w:val="009D31EB"/>
    <w:rsid w:val="009E0C50"/>
    <w:rsid w:val="009E107E"/>
    <w:rsid w:val="009E137B"/>
    <w:rsid w:val="009F1EE9"/>
    <w:rsid w:val="009F7F3A"/>
    <w:rsid w:val="00A0136B"/>
    <w:rsid w:val="00A0286B"/>
    <w:rsid w:val="00A0608C"/>
    <w:rsid w:val="00A1007C"/>
    <w:rsid w:val="00A1789D"/>
    <w:rsid w:val="00A21CE2"/>
    <w:rsid w:val="00A222C2"/>
    <w:rsid w:val="00A240E6"/>
    <w:rsid w:val="00A25216"/>
    <w:rsid w:val="00A26497"/>
    <w:rsid w:val="00A3205B"/>
    <w:rsid w:val="00A4147E"/>
    <w:rsid w:val="00A47B5E"/>
    <w:rsid w:val="00A51232"/>
    <w:rsid w:val="00A542C7"/>
    <w:rsid w:val="00A54F5B"/>
    <w:rsid w:val="00A61A8B"/>
    <w:rsid w:val="00A62C77"/>
    <w:rsid w:val="00A632B3"/>
    <w:rsid w:val="00A67018"/>
    <w:rsid w:val="00A6758E"/>
    <w:rsid w:val="00A714B6"/>
    <w:rsid w:val="00A740EC"/>
    <w:rsid w:val="00A804F2"/>
    <w:rsid w:val="00A80BBC"/>
    <w:rsid w:val="00A92497"/>
    <w:rsid w:val="00A94B22"/>
    <w:rsid w:val="00A95F6A"/>
    <w:rsid w:val="00AA0EE5"/>
    <w:rsid w:val="00AA0F2E"/>
    <w:rsid w:val="00AA22B6"/>
    <w:rsid w:val="00AA66B7"/>
    <w:rsid w:val="00AB1343"/>
    <w:rsid w:val="00AB4C63"/>
    <w:rsid w:val="00AC3EE5"/>
    <w:rsid w:val="00AD03A3"/>
    <w:rsid w:val="00AD2FE5"/>
    <w:rsid w:val="00AE19C8"/>
    <w:rsid w:val="00AE5D1D"/>
    <w:rsid w:val="00AE6668"/>
    <w:rsid w:val="00AE73FC"/>
    <w:rsid w:val="00AF34B6"/>
    <w:rsid w:val="00B02E30"/>
    <w:rsid w:val="00B03C61"/>
    <w:rsid w:val="00B041DF"/>
    <w:rsid w:val="00B04481"/>
    <w:rsid w:val="00B077E5"/>
    <w:rsid w:val="00B13F23"/>
    <w:rsid w:val="00B230A8"/>
    <w:rsid w:val="00B258A8"/>
    <w:rsid w:val="00B27EFF"/>
    <w:rsid w:val="00B31F57"/>
    <w:rsid w:val="00B3324F"/>
    <w:rsid w:val="00B40597"/>
    <w:rsid w:val="00B507EB"/>
    <w:rsid w:val="00B60516"/>
    <w:rsid w:val="00B60F45"/>
    <w:rsid w:val="00B61359"/>
    <w:rsid w:val="00B65DF1"/>
    <w:rsid w:val="00B6754D"/>
    <w:rsid w:val="00B92517"/>
    <w:rsid w:val="00B932D6"/>
    <w:rsid w:val="00BA077E"/>
    <w:rsid w:val="00BA2192"/>
    <w:rsid w:val="00BA3E1B"/>
    <w:rsid w:val="00BB0348"/>
    <w:rsid w:val="00BC102E"/>
    <w:rsid w:val="00BC5691"/>
    <w:rsid w:val="00BC5B56"/>
    <w:rsid w:val="00BE37CA"/>
    <w:rsid w:val="00BE3FC7"/>
    <w:rsid w:val="00BF0702"/>
    <w:rsid w:val="00BF2068"/>
    <w:rsid w:val="00BF656B"/>
    <w:rsid w:val="00BF6F0B"/>
    <w:rsid w:val="00C000BF"/>
    <w:rsid w:val="00C00E43"/>
    <w:rsid w:val="00C04E58"/>
    <w:rsid w:val="00C11ACE"/>
    <w:rsid w:val="00C15E17"/>
    <w:rsid w:val="00C177BF"/>
    <w:rsid w:val="00C21B54"/>
    <w:rsid w:val="00C23633"/>
    <w:rsid w:val="00C3276F"/>
    <w:rsid w:val="00C33CCB"/>
    <w:rsid w:val="00C44DCF"/>
    <w:rsid w:val="00C46415"/>
    <w:rsid w:val="00C4761F"/>
    <w:rsid w:val="00C5029E"/>
    <w:rsid w:val="00C53069"/>
    <w:rsid w:val="00C67A37"/>
    <w:rsid w:val="00C74108"/>
    <w:rsid w:val="00C7798F"/>
    <w:rsid w:val="00C80F6A"/>
    <w:rsid w:val="00C872DF"/>
    <w:rsid w:val="00C956DF"/>
    <w:rsid w:val="00C970CF"/>
    <w:rsid w:val="00CA1913"/>
    <w:rsid w:val="00CA7B69"/>
    <w:rsid w:val="00CB137A"/>
    <w:rsid w:val="00CB6437"/>
    <w:rsid w:val="00CB71DC"/>
    <w:rsid w:val="00CC20EF"/>
    <w:rsid w:val="00CC7B57"/>
    <w:rsid w:val="00CD1D43"/>
    <w:rsid w:val="00CD1EA5"/>
    <w:rsid w:val="00CE2366"/>
    <w:rsid w:val="00CE2B27"/>
    <w:rsid w:val="00CE61E4"/>
    <w:rsid w:val="00CE6261"/>
    <w:rsid w:val="00CF0B81"/>
    <w:rsid w:val="00CF711E"/>
    <w:rsid w:val="00CF7298"/>
    <w:rsid w:val="00D04263"/>
    <w:rsid w:val="00D07041"/>
    <w:rsid w:val="00D270C2"/>
    <w:rsid w:val="00D35836"/>
    <w:rsid w:val="00D43FA8"/>
    <w:rsid w:val="00D519D9"/>
    <w:rsid w:val="00D540C7"/>
    <w:rsid w:val="00D56D35"/>
    <w:rsid w:val="00D60E3E"/>
    <w:rsid w:val="00D618C2"/>
    <w:rsid w:val="00D669BC"/>
    <w:rsid w:val="00D71A58"/>
    <w:rsid w:val="00D72FBB"/>
    <w:rsid w:val="00D76511"/>
    <w:rsid w:val="00D82190"/>
    <w:rsid w:val="00D84740"/>
    <w:rsid w:val="00D8491A"/>
    <w:rsid w:val="00D86BD1"/>
    <w:rsid w:val="00D8729F"/>
    <w:rsid w:val="00D87CD2"/>
    <w:rsid w:val="00D93552"/>
    <w:rsid w:val="00D94948"/>
    <w:rsid w:val="00DA1218"/>
    <w:rsid w:val="00DA1D24"/>
    <w:rsid w:val="00DC27CB"/>
    <w:rsid w:val="00DC42E6"/>
    <w:rsid w:val="00DC53CE"/>
    <w:rsid w:val="00DC5E55"/>
    <w:rsid w:val="00DD07C0"/>
    <w:rsid w:val="00DD75BD"/>
    <w:rsid w:val="00DE2922"/>
    <w:rsid w:val="00DF5D72"/>
    <w:rsid w:val="00DF6201"/>
    <w:rsid w:val="00E02489"/>
    <w:rsid w:val="00E02988"/>
    <w:rsid w:val="00E03D52"/>
    <w:rsid w:val="00E10271"/>
    <w:rsid w:val="00E1460F"/>
    <w:rsid w:val="00E14A92"/>
    <w:rsid w:val="00E248E3"/>
    <w:rsid w:val="00E251B9"/>
    <w:rsid w:val="00E256BC"/>
    <w:rsid w:val="00E30A2E"/>
    <w:rsid w:val="00E460CA"/>
    <w:rsid w:val="00E47076"/>
    <w:rsid w:val="00E47C3F"/>
    <w:rsid w:val="00E57B2F"/>
    <w:rsid w:val="00E62665"/>
    <w:rsid w:val="00E80E82"/>
    <w:rsid w:val="00E83558"/>
    <w:rsid w:val="00E83B4E"/>
    <w:rsid w:val="00E84064"/>
    <w:rsid w:val="00E90C61"/>
    <w:rsid w:val="00E9250D"/>
    <w:rsid w:val="00E9644E"/>
    <w:rsid w:val="00E97261"/>
    <w:rsid w:val="00E9791C"/>
    <w:rsid w:val="00EB7C7C"/>
    <w:rsid w:val="00EC0BDB"/>
    <w:rsid w:val="00EC6F5A"/>
    <w:rsid w:val="00ED30D4"/>
    <w:rsid w:val="00ED4774"/>
    <w:rsid w:val="00EE04A8"/>
    <w:rsid w:val="00EE3398"/>
    <w:rsid w:val="00F0486D"/>
    <w:rsid w:val="00F052CB"/>
    <w:rsid w:val="00F0699C"/>
    <w:rsid w:val="00F13A94"/>
    <w:rsid w:val="00F17182"/>
    <w:rsid w:val="00F31D7E"/>
    <w:rsid w:val="00F320F4"/>
    <w:rsid w:val="00F32221"/>
    <w:rsid w:val="00F4021B"/>
    <w:rsid w:val="00F47AFB"/>
    <w:rsid w:val="00F52B2F"/>
    <w:rsid w:val="00F536F4"/>
    <w:rsid w:val="00F540AB"/>
    <w:rsid w:val="00F5516B"/>
    <w:rsid w:val="00F55A27"/>
    <w:rsid w:val="00F57C85"/>
    <w:rsid w:val="00F64A5C"/>
    <w:rsid w:val="00F65C60"/>
    <w:rsid w:val="00F670C1"/>
    <w:rsid w:val="00F743E4"/>
    <w:rsid w:val="00F84449"/>
    <w:rsid w:val="00F86F56"/>
    <w:rsid w:val="00F951BF"/>
    <w:rsid w:val="00F95B3C"/>
    <w:rsid w:val="00FA13A3"/>
    <w:rsid w:val="00FB1A59"/>
    <w:rsid w:val="00FC25AB"/>
    <w:rsid w:val="00FC2D83"/>
    <w:rsid w:val="00FC6086"/>
    <w:rsid w:val="00FC7FB6"/>
    <w:rsid w:val="00FD09B5"/>
    <w:rsid w:val="00FD2D34"/>
    <w:rsid w:val="00FD361A"/>
    <w:rsid w:val="00FD5782"/>
    <w:rsid w:val="00FE0621"/>
    <w:rsid w:val="00FE10E3"/>
    <w:rsid w:val="00FE1908"/>
    <w:rsid w:val="00FE40D5"/>
    <w:rsid w:val="00FE6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colormru v:ext="edit" colors="#ccecff"/>
    </o:shapedefaults>
    <o:shapelayout v:ext="edit">
      <o:idmap v:ext="edit" data="1"/>
    </o:shapelayout>
  </w:shapeDefaults>
  <w:decimalSymbol w:val="."/>
  <w:listSeparator w:val=","/>
  <w15:docId w15:val="{70DDA8ED-C022-4987-BAD3-4735AFA3F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8BA"/>
    <w:pPr>
      <w:jc w:val="both"/>
    </w:pPr>
    <w:rPr>
      <w:kern w:val="22"/>
      <w:sz w:val="22"/>
      <w:szCs w:val="24"/>
    </w:rPr>
  </w:style>
  <w:style w:type="paragraph" w:styleId="Heading1">
    <w:name w:val="heading 1"/>
    <w:basedOn w:val="Normal"/>
    <w:next w:val="Normal"/>
    <w:qFormat/>
    <w:rsid w:val="003A68BA"/>
    <w:pPr>
      <w:keepNext/>
      <w:numPr>
        <w:numId w:val="1"/>
      </w:numPr>
      <w:spacing w:before="120" w:after="120"/>
      <w:outlineLvl w:val="0"/>
    </w:pPr>
    <w:rPr>
      <w:rFonts w:ascii="Arial" w:hAnsi="Arial"/>
      <w:b/>
      <w:bCs/>
      <w:color w:val="000080"/>
      <w:sz w:val="28"/>
      <w:szCs w:val="32"/>
    </w:rPr>
  </w:style>
  <w:style w:type="paragraph" w:styleId="Heading2">
    <w:name w:val="heading 2"/>
    <w:basedOn w:val="Normal"/>
    <w:next w:val="Normal"/>
    <w:qFormat/>
    <w:rsid w:val="003A68BA"/>
    <w:pPr>
      <w:keepNext/>
      <w:numPr>
        <w:ilvl w:val="1"/>
        <w:numId w:val="1"/>
      </w:numPr>
      <w:spacing w:before="240" w:after="60"/>
      <w:outlineLvl w:val="1"/>
    </w:pPr>
    <w:rPr>
      <w:rFonts w:ascii="Arial" w:hAnsi="Arial"/>
      <w:b/>
      <w:bCs/>
      <w:iCs/>
      <w:color w:val="000080"/>
      <w:sz w:val="24"/>
    </w:rPr>
  </w:style>
  <w:style w:type="paragraph" w:styleId="Heading3">
    <w:name w:val="heading 3"/>
    <w:basedOn w:val="Normal"/>
    <w:next w:val="Normal"/>
    <w:qFormat/>
    <w:rsid w:val="003A68BA"/>
    <w:pPr>
      <w:keepNext/>
      <w:numPr>
        <w:ilvl w:val="2"/>
        <w:numId w:val="1"/>
      </w:numPr>
      <w:spacing w:before="180" w:after="60"/>
      <w:outlineLvl w:val="2"/>
    </w:pPr>
    <w:rPr>
      <w:rFonts w:ascii="Arial" w:hAnsi="Arial" w:cs="Arial"/>
      <w:b/>
      <w:bCs/>
      <w:i/>
      <w:color w:val="000080"/>
    </w:rPr>
  </w:style>
  <w:style w:type="paragraph" w:styleId="Heading4">
    <w:name w:val="heading 4"/>
    <w:basedOn w:val="Normal"/>
    <w:next w:val="Normal"/>
    <w:qFormat/>
    <w:rsid w:val="003A68BA"/>
    <w:pPr>
      <w:keepNext/>
      <w:numPr>
        <w:ilvl w:val="3"/>
        <w:numId w:val="1"/>
      </w:numPr>
      <w:spacing w:before="120" w:after="60"/>
      <w:outlineLvl w:val="3"/>
    </w:pPr>
    <w:rPr>
      <w:b/>
      <w:bCs/>
      <w:kern w:val="0"/>
      <w:szCs w:val="28"/>
    </w:rPr>
  </w:style>
  <w:style w:type="paragraph" w:styleId="Heading5">
    <w:name w:val="heading 5"/>
    <w:basedOn w:val="Normal"/>
    <w:next w:val="Normal"/>
    <w:qFormat/>
    <w:rsid w:val="003A68BA"/>
    <w:pPr>
      <w:numPr>
        <w:ilvl w:val="4"/>
        <w:numId w:val="1"/>
      </w:numPr>
      <w:spacing w:before="240" w:after="60"/>
      <w:outlineLvl w:val="4"/>
    </w:pPr>
    <w:rPr>
      <w:b/>
      <w:bCs/>
      <w:i/>
      <w:iCs/>
      <w:sz w:val="26"/>
      <w:szCs w:val="26"/>
    </w:rPr>
  </w:style>
  <w:style w:type="paragraph" w:styleId="Heading6">
    <w:name w:val="heading 6"/>
    <w:basedOn w:val="Normal"/>
    <w:next w:val="Normal"/>
    <w:qFormat/>
    <w:rsid w:val="003A68BA"/>
    <w:pPr>
      <w:numPr>
        <w:ilvl w:val="5"/>
        <w:numId w:val="1"/>
      </w:numPr>
      <w:spacing w:before="240" w:after="60"/>
      <w:outlineLvl w:val="5"/>
    </w:pPr>
    <w:rPr>
      <w:b/>
      <w:bCs/>
      <w:szCs w:val="22"/>
    </w:rPr>
  </w:style>
  <w:style w:type="paragraph" w:styleId="Heading7">
    <w:name w:val="heading 7"/>
    <w:basedOn w:val="Normal"/>
    <w:next w:val="Normal"/>
    <w:qFormat/>
    <w:rsid w:val="003A68BA"/>
    <w:pPr>
      <w:numPr>
        <w:ilvl w:val="6"/>
        <w:numId w:val="1"/>
      </w:numPr>
      <w:spacing w:before="240" w:after="60"/>
      <w:outlineLvl w:val="6"/>
    </w:pPr>
  </w:style>
  <w:style w:type="paragraph" w:styleId="Heading8">
    <w:name w:val="heading 8"/>
    <w:basedOn w:val="Normal"/>
    <w:next w:val="Normal"/>
    <w:qFormat/>
    <w:rsid w:val="003A68BA"/>
    <w:pPr>
      <w:numPr>
        <w:ilvl w:val="7"/>
        <w:numId w:val="1"/>
      </w:numPr>
      <w:spacing w:before="240" w:after="60"/>
      <w:outlineLvl w:val="7"/>
    </w:pPr>
    <w:rPr>
      <w:i/>
      <w:iCs/>
    </w:rPr>
  </w:style>
  <w:style w:type="paragraph" w:styleId="Heading9">
    <w:name w:val="heading 9"/>
    <w:basedOn w:val="Normal"/>
    <w:next w:val="Normal"/>
    <w:qFormat/>
    <w:rsid w:val="003A68BA"/>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rsid w:val="003A68BA"/>
    <w:pPr>
      <w:spacing w:before="120" w:after="240"/>
      <w:ind w:left="720" w:hanging="720"/>
    </w:pPr>
  </w:style>
  <w:style w:type="paragraph" w:customStyle="1" w:styleId="6pointSpacer">
    <w:name w:val="6pointSpacer"/>
    <w:basedOn w:val="Normal"/>
    <w:rsid w:val="00CE2B27"/>
    <w:rPr>
      <w:sz w:val="12"/>
      <w:szCs w:val="12"/>
    </w:rPr>
  </w:style>
  <w:style w:type="paragraph" w:styleId="BodyText">
    <w:name w:val="Body Text"/>
    <w:basedOn w:val="Normal"/>
    <w:rsid w:val="003A68BA"/>
    <w:pPr>
      <w:spacing w:after="120"/>
    </w:pPr>
  </w:style>
  <w:style w:type="paragraph" w:styleId="Caption">
    <w:name w:val="caption"/>
    <w:basedOn w:val="Normal"/>
    <w:next w:val="Normal"/>
    <w:qFormat/>
    <w:rsid w:val="003A68BA"/>
    <w:pPr>
      <w:keepNext/>
      <w:spacing w:before="120" w:after="120"/>
    </w:pPr>
    <w:rPr>
      <w:b/>
      <w:bCs/>
      <w:szCs w:val="20"/>
    </w:rPr>
  </w:style>
  <w:style w:type="paragraph" w:customStyle="1" w:styleId="CenteredCaption">
    <w:name w:val="CenteredCaption"/>
    <w:basedOn w:val="Caption"/>
    <w:rsid w:val="003A68BA"/>
    <w:pPr>
      <w:jc w:val="center"/>
    </w:pPr>
  </w:style>
  <w:style w:type="character" w:customStyle="1" w:styleId="Emphasize">
    <w:name w:val="Emphasize"/>
    <w:rsid w:val="003A68BA"/>
    <w:rPr>
      <w:b/>
      <w:color w:val="000080"/>
    </w:rPr>
  </w:style>
  <w:style w:type="paragraph" w:styleId="Header">
    <w:name w:val="header"/>
    <w:basedOn w:val="Normal"/>
    <w:rsid w:val="00CE2B27"/>
    <w:pPr>
      <w:tabs>
        <w:tab w:val="center" w:pos="4320"/>
        <w:tab w:val="right" w:pos="9360"/>
      </w:tabs>
    </w:pPr>
    <w:rPr>
      <w:rFonts w:ascii="Arial" w:hAnsi="Arial"/>
      <w:sz w:val="16"/>
    </w:rPr>
  </w:style>
  <w:style w:type="character" w:customStyle="1" w:styleId="Italicize">
    <w:name w:val="Italicize"/>
    <w:rsid w:val="00CE2B27"/>
    <w:rPr>
      <w:i/>
      <w:color w:val="003399"/>
    </w:rPr>
  </w:style>
  <w:style w:type="paragraph" w:customStyle="1" w:styleId="Left1">
    <w:name w:val="Left:1"/>
    <w:basedOn w:val="Normal"/>
    <w:rsid w:val="00CE2B27"/>
    <w:pPr>
      <w:ind w:left="504"/>
    </w:pPr>
  </w:style>
  <w:style w:type="paragraph" w:customStyle="1" w:styleId="Left2">
    <w:name w:val="Left:2"/>
    <w:basedOn w:val="Normal"/>
    <w:rsid w:val="00CE2B27"/>
    <w:pPr>
      <w:ind w:left="1008"/>
    </w:pPr>
  </w:style>
  <w:style w:type="paragraph" w:customStyle="1" w:styleId="Left3">
    <w:name w:val="Left:3"/>
    <w:basedOn w:val="Normal"/>
    <w:rsid w:val="00CE2B27"/>
    <w:pPr>
      <w:ind w:left="1800"/>
    </w:pPr>
  </w:style>
  <w:style w:type="paragraph" w:customStyle="1" w:styleId="Left4">
    <w:name w:val="Left:4"/>
    <w:basedOn w:val="Normal"/>
    <w:rsid w:val="00CE2B27"/>
    <w:pPr>
      <w:ind w:left="2736"/>
    </w:pPr>
  </w:style>
  <w:style w:type="numbering" w:customStyle="1" w:styleId="ListBulleted">
    <w:name w:val="List Bulleted"/>
    <w:basedOn w:val="NoList"/>
    <w:rsid w:val="003A68BA"/>
    <w:pPr>
      <w:numPr>
        <w:numId w:val="2"/>
      </w:numPr>
    </w:pPr>
  </w:style>
  <w:style w:type="numbering" w:customStyle="1" w:styleId="ListBulletedIndented">
    <w:name w:val="List Bulleted Indented"/>
    <w:basedOn w:val="NoList"/>
    <w:rsid w:val="00CE2B27"/>
    <w:pPr>
      <w:numPr>
        <w:numId w:val="3"/>
      </w:numPr>
    </w:pPr>
  </w:style>
  <w:style w:type="numbering" w:customStyle="1" w:styleId="ListMultiple-choiceChar">
    <w:name w:val="List Multiple-choice Char"/>
    <w:basedOn w:val="NoList"/>
    <w:rsid w:val="00CE2B27"/>
    <w:pPr>
      <w:numPr>
        <w:numId w:val="4"/>
      </w:numPr>
    </w:pPr>
  </w:style>
  <w:style w:type="numbering" w:customStyle="1" w:styleId="ListOutlineChar">
    <w:name w:val="List Outline Char"/>
    <w:rsid w:val="00CE2B27"/>
  </w:style>
  <w:style w:type="numbering" w:customStyle="1" w:styleId="ListOutlineNumbered">
    <w:name w:val="List Outline Numbered"/>
    <w:basedOn w:val="NoList"/>
    <w:rsid w:val="00CE2B27"/>
    <w:pPr>
      <w:numPr>
        <w:numId w:val="6"/>
      </w:numPr>
    </w:pPr>
  </w:style>
  <w:style w:type="paragraph" w:styleId="Subtitle">
    <w:name w:val="Subtitle"/>
    <w:basedOn w:val="Normal"/>
    <w:qFormat/>
    <w:rsid w:val="003A68BA"/>
    <w:pPr>
      <w:spacing w:before="120" w:after="120"/>
      <w:jc w:val="center"/>
      <w:outlineLvl w:val="1"/>
    </w:pPr>
    <w:rPr>
      <w:rFonts w:ascii="Arial" w:hAnsi="Arial" w:cs="Arial"/>
      <w:color w:val="000080"/>
    </w:rPr>
  </w:style>
  <w:style w:type="paragraph" w:customStyle="1" w:styleId="TableCentered">
    <w:name w:val="TableCentered"/>
    <w:basedOn w:val="Normal"/>
    <w:rsid w:val="00CE2B27"/>
    <w:pPr>
      <w:jc w:val="center"/>
    </w:pPr>
    <w:rPr>
      <w:szCs w:val="20"/>
    </w:rPr>
  </w:style>
  <w:style w:type="paragraph" w:customStyle="1" w:styleId="TableLeftText">
    <w:name w:val="TableLeftText"/>
    <w:basedOn w:val="Normal"/>
    <w:rsid w:val="00CE2B27"/>
  </w:style>
  <w:style w:type="paragraph" w:customStyle="1" w:styleId="TableRightText">
    <w:name w:val="TableRightText"/>
    <w:basedOn w:val="Normal"/>
    <w:rsid w:val="00CE2B27"/>
    <w:pPr>
      <w:jc w:val="right"/>
    </w:pPr>
  </w:style>
  <w:style w:type="paragraph" w:styleId="Title">
    <w:name w:val="Title"/>
    <w:basedOn w:val="Normal"/>
    <w:qFormat/>
    <w:rsid w:val="003A68BA"/>
    <w:pPr>
      <w:spacing w:before="240" w:after="60"/>
      <w:jc w:val="center"/>
      <w:outlineLvl w:val="0"/>
    </w:pPr>
    <w:rPr>
      <w:rFonts w:ascii="Arial" w:hAnsi="Arial" w:cs="Arial"/>
      <w:b/>
      <w:bCs/>
      <w:smallCaps/>
      <w:color w:val="000080"/>
      <w:kern w:val="28"/>
      <w:sz w:val="28"/>
      <w:szCs w:val="32"/>
    </w:rPr>
  </w:style>
  <w:style w:type="character" w:customStyle="1" w:styleId="Answer">
    <w:name w:val="Answer"/>
    <w:rsid w:val="00CE2B27"/>
    <w:rPr>
      <w:b/>
      <w:i/>
      <w:u w:val="single"/>
      <w:bdr w:val="none" w:sz="0" w:space="0" w:color="auto"/>
      <w:shd w:val="clear" w:color="auto" w:fill="FFFF99"/>
    </w:rPr>
  </w:style>
  <w:style w:type="paragraph" w:customStyle="1" w:styleId="GCaptionBoldCentered">
    <w:name w:val="GCaptionBoldCentered"/>
    <w:basedOn w:val="Normal"/>
    <w:rsid w:val="00202972"/>
    <w:pPr>
      <w:keepNext/>
      <w:jc w:val="center"/>
    </w:pPr>
    <w:rPr>
      <w:b/>
      <w:color w:val="000099"/>
      <w:sz w:val="24"/>
    </w:rPr>
  </w:style>
  <w:style w:type="paragraph" w:styleId="Footer">
    <w:name w:val="footer"/>
    <w:basedOn w:val="Normal"/>
    <w:rsid w:val="003A68BA"/>
    <w:pPr>
      <w:tabs>
        <w:tab w:val="center" w:pos="4320"/>
        <w:tab w:val="right" w:pos="9360"/>
      </w:tabs>
    </w:pPr>
    <w:rPr>
      <w:rFonts w:ascii="Arial" w:hAnsi="Arial"/>
      <w:sz w:val="16"/>
    </w:rPr>
  </w:style>
  <w:style w:type="character" w:styleId="PageNumber">
    <w:name w:val="page number"/>
    <w:basedOn w:val="DefaultParagraphFont"/>
    <w:rsid w:val="00FD361A"/>
  </w:style>
  <w:style w:type="paragraph" w:customStyle="1" w:styleId="CoverText">
    <w:name w:val="CoverText"/>
    <w:basedOn w:val="Normal"/>
    <w:rsid w:val="003A68BA"/>
    <w:pPr>
      <w:jc w:val="center"/>
    </w:pPr>
  </w:style>
  <w:style w:type="paragraph" w:styleId="BodyText3">
    <w:name w:val="Body Text 3"/>
    <w:basedOn w:val="Normal"/>
    <w:rsid w:val="003A68BA"/>
    <w:rPr>
      <w:sz w:val="18"/>
      <w:szCs w:val="16"/>
    </w:rPr>
  </w:style>
  <w:style w:type="paragraph" w:styleId="BodyTextFirstIndent">
    <w:name w:val="Body Text First Indent"/>
    <w:basedOn w:val="BodyText"/>
    <w:rsid w:val="003A68BA"/>
    <w:pPr>
      <w:spacing w:line="480" w:lineRule="auto"/>
      <w:ind w:firstLine="432"/>
    </w:pPr>
  </w:style>
  <w:style w:type="paragraph" w:styleId="FootnoteText">
    <w:name w:val="footnote text"/>
    <w:basedOn w:val="Normal"/>
    <w:rsid w:val="003A68BA"/>
    <w:rPr>
      <w:sz w:val="20"/>
      <w:szCs w:val="20"/>
    </w:rPr>
  </w:style>
  <w:style w:type="paragraph" w:customStyle="1" w:styleId="CenterTable">
    <w:name w:val="CenterTable"/>
    <w:basedOn w:val="Normal"/>
    <w:rsid w:val="003A68BA"/>
    <w:pPr>
      <w:jc w:val="center"/>
    </w:pPr>
  </w:style>
  <w:style w:type="numbering" w:customStyle="1" w:styleId="StyleOutlinenumbered">
    <w:name w:val="Style Outline numbered"/>
    <w:basedOn w:val="NoList"/>
    <w:rsid w:val="003A68BA"/>
    <w:pPr>
      <w:numPr>
        <w:numId w:val="31"/>
      </w:numPr>
    </w:pPr>
  </w:style>
  <w:style w:type="paragraph" w:customStyle="1" w:styleId="StyleLeft14">
    <w:name w:val="Style Left:  1.4&quot;"/>
    <w:basedOn w:val="Normal"/>
    <w:rsid w:val="003A68BA"/>
    <w:pPr>
      <w:ind w:left="2016"/>
    </w:pPr>
    <w:rPr>
      <w:szCs w:val="22"/>
    </w:rPr>
  </w:style>
  <w:style w:type="paragraph" w:customStyle="1" w:styleId="StyleLeft105">
    <w:name w:val="Style Left:  1.05&quot;"/>
    <w:basedOn w:val="Normal"/>
    <w:rsid w:val="003A68BA"/>
    <w:pPr>
      <w:ind w:left="1512"/>
    </w:pPr>
    <w:rPr>
      <w:szCs w:val="20"/>
    </w:rPr>
  </w:style>
  <w:style w:type="paragraph" w:customStyle="1" w:styleId="StyleLeft07">
    <w:name w:val="Style Left:  0.7&quot;"/>
    <w:basedOn w:val="Normal"/>
    <w:rsid w:val="003A68BA"/>
    <w:pPr>
      <w:ind w:left="1008"/>
    </w:pPr>
    <w:rPr>
      <w:szCs w:val="20"/>
    </w:rPr>
  </w:style>
  <w:style w:type="paragraph" w:customStyle="1" w:styleId="StyleLeft035">
    <w:name w:val="Style Left:  0.35&quot;"/>
    <w:basedOn w:val="Normal"/>
    <w:rsid w:val="003A68BA"/>
    <w:pPr>
      <w:ind w:left="504"/>
    </w:pPr>
    <w:rPr>
      <w:szCs w:val="20"/>
    </w:rPr>
  </w:style>
  <w:style w:type="paragraph" w:customStyle="1" w:styleId="Indentedlist">
    <w:name w:val="Indented list"/>
    <w:basedOn w:val="Normal"/>
    <w:rsid w:val="003A68BA"/>
    <w:pPr>
      <w:numPr>
        <w:numId w:val="15"/>
      </w:numPr>
      <w:tabs>
        <w:tab w:val="clear" w:pos="1008"/>
        <w:tab w:val="num" w:pos="360"/>
      </w:tabs>
      <w:ind w:left="0" w:firstLine="0"/>
    </w:pPr>
    <w:rPr>
      <w:szCs w:val="22"/>
    </w:rPr>
  </w:style>
  <w:style w:type="paragraph" w:styleId="List">
    <w:name w:val="List"/>
    <w:basedOn w:val="Normal"/>
    <w:rsid w:val="003A68BA"/>
    <w:pPr>
      <w:numPr>
        <w:numId w:val="16"/>
      </w:numPr>
      <w:tabs>
        <w:tab w:val="clear" w:pos="504"/>
        <w:tab w:val="num" w:pos="360"/>
      </w:tabs>
      <w:ind w:left="0" w:firstLine="0"/>
    </w:pPr>
    <w:rPr>
      <w:szCs w:val="22"/>
    </w:rPr>
  </w:style>
  <w:style w:type="numbering" w:customStyle="1" w:styleId="StyleCharOutlinenumbered">
    <w:name w:val="Style Char Outline numbered"/>
    <w:basedOn w:val="NoList"/>
    <w:rsid w:val="003A68BA"/>
    <w:pPr>
      <w:numPr>
        <w:numId w:val="32"/>
      </w:numPr>
    </w:pPr>
  </w:style>
  <w:style w:type="character" w:styleId="Hyperlink">
    <w:name w:val="Hyperlink"/>
    <w:rsid w:val="00090E6F"/>
    <w:rPr>
      <w:color w:val="0000FF"/>
      <w:u w:val="single"/>
    </w:rPr>
  </w:style>
  <w:style w:type="character" w:styleId="FollowedHyperlink">
    <w:name w:val="FollowedHyperlink"/>
    <w:rsid w:val="006C7E94"/>
    <w:rPr>
      <w:color w:val="0000FF"/>
      <w:u w:val="single"/>
    </w:rPr>
  </w:style>
  <w:style w:type="paragraph" w:styleId="BalloonText">
    <w:name w:val="Balloon Text"/>
    <w:basedOn w:val="Normal"/>
    <w:link w:val="BalloonTextChar"/>
    <w:rsid w:val="008D75C3"/>
    <w:rPr>
      <w:rFonts w:ascii="Tahoma" w:hAnsi="Tahoma" w:cs="Tahoma"/>
      <w:sz w:val="16"/>
      <w:szCs w:val="16"/>
    </w:rPr>
  </w:style>
  <w:style w:type="character" w:customStyle="1" w:styleId="BalloonTextChar">
    <w:name w:val="Balloon Text Char"/>
    <w:link w:val="BalloonText"/>
    <w:rsid w:val="008D75C3"/>
    <w:rPr>
      <w:rFonts w:ascii="Tahoma" w:hAnsi="Tahoma" w:cs="Tahoma"/>
      <w:kern w:val="22"/>
      <w:sz w:val="16"/>
      <w:szCs w:val="16"/>
    </w:rPr>
  </w:style>
  <w:style w:type="table" w:styleId="TableGrid">
    <w:name w:val="Table Grid"/>
    <w:basedOn w:val="TableNormal"/>
    <w:rsid w:val="00A222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78821">
      <w:bodyDiv w:val="1"/>
      <w:marLeft w:val="0"/>
      <w:marRight w:val="0"/>
      <w:marTop w:val="0"/>
      <w:marBottom w:val="0"/>
      <w:divBdr>
        <w:top w:val="none" w:sz="0" w:space="0" w:color="auto"/>
        <w:left w:val="none" w:sz="0" w:space="0" w:color="auto"/>
        <w:bottom w:val="none" w:sz="0" w:space="0" w:color="auto"/>
        <w:right w:val="none" w:sz="0" w:space="0" w:color="auto"/>
      </w:divBdr>
    </w:div>
    <w:div w:id="216205551">
      <w:bodyDiv w:val="1"/>
      <w:marLeft w:val="0"/>
      <w:marRight w:val="0"/>
      <w:marTop w:val="0"/>
      <w:marBottom w:val="0"/>
      <w:divBdr>
        <w:top w:val="none" w:sz="0" w:space="0" w:color="auto"/>
        <w:left w:val="none" w:sz="0" w:space="0" w:color="auto"/>
        <w:bottom w:val="none" w:sz="0" w:space="0" w:color="auto"/>
        <w:right w:val="none" w:sz="0" w:space="0" w:color="auto"/>
      </w:divBdr>
    </w:div>
    <w:div w:id="219875184">
      <w:bodyDiv w:val="1"/>
      <w:marLeft w:val="0"/>
      <w:marRight w:val="0"/>
      <w:marTop w:val="0"/>
      <w:marBottom w:val="0"/>
      <w:divBdr>
        <w:top w:val="none" w:sz="0" w:space="0" w:color="auto"/>
        <w:left w:val="none" w:sz="0" w:space="0" w:color="auto"/>
        <w:bottom w:val="none" w:sz="0" w:space="0" w:color="auto"/>
        <w:right w:val="none" w:sz="0" w:space="0" w:color="auto"/>
      </w:divBdr>
    </w:div>
    <w:div w:id="727266776">
      <w:bodyDiv w:val="1"/>
      <w:marLeft w:val="0"/>
      <w:marRight w:val="0"/>
      <w:marTop w:val="0"/>
      <w:marBottom w:val="0"/>
      <w:divBdr>
        <w:top w:val="none" w:sz="0" w:space="0" w:color="auto"/>
        <w:left w:val="none" w:sz="0" w:space="0" w:color="auto"/>
        <w:bottom w:val="none" w:sz="0" w:space="0" w:color="auto"/>
        <w:right w:val="none" w:sz="0" w:space="0" w:color="auto"/>
      </w:divBdr>
    </w:div>
    <w:div w:id="1183977672">
      <w:bodyDiv w:val="1"/>
      <w:marLeft w:val="0"/>
      <w:marRight w:val="0"/>
      <w:marTop w:val="0"/>
      <w:marBottom w:val="0"/>
      <w:divBdr>
        <w:top w:val="none" w:sz="0" w:space="0" w:color="auto"/>
        <w:left w:val="none" w:sz="0" w:space="0" w:color="auto"/>
        <w:bottom w:val="none" w:sz="0" w:space="0" w:color="auto"/>
        <w:right w:val="none" w:sz="0" w:space="0" w:color="auto"/>
      </w:divBdr>
    </w:div>
    <w:div w:id="1583178570">
      <w:bodyDiv w:val="1"/>
      <w:marLeft w:val="0"/>
      <w:marRight w:val="0"/>
      <w:marTop w:val="0"/>
      <w:marBottom w:val="0"/>
      <w:divBdr>
        <w:top w:val="none" w:sz="0" w:space="0" w:color="auto"/>
        <w:left w:val="none" w:sz="0" w:space="0" w:color="auto"/>
        <w:bottom w:val="none" w:sz="0" w:space="0" w:color="auto"/>
        <w:right w:val="none" w:sz="0" w:space="0" w:color="auto"/>
      </w:divBdr>
    </w:div>
    <w:div w:id="1620142068">
      <w:bodyDiv w:val="1"/>
      <w:marLeft w:val="0"/>
      <w:marRight w:val="0"/>
      <w:marTop w:val="0"/>
      <w:marBottom w:val="0"/>
      <w:divBdr>
        <w:top w:val="none" w:sz="0" w:space="0" w:color="auto"/>
        <w:left w:val="none" w:sz="0" w:space="0" w:color="auto"/>
        <w:bottom w:val="none" w:sz="0" w:space="0" w:color="auto"/>
        <w:right w:val="none" w:sz="0" w:space="0" w:color="auto"/>
      </w:divBdr>
    </w:div>
    <w:div w:id="1645622219">
      <w:bodyDiv w:val="1"/>
      <w:marLeft w:val="0"/>
      <w:marRight w:val="0"/>
      <w:marTop w:val="0"/>
      <w:marBottom w:val="0"/>
      <w:divBdr>
        <w:top w:val="none" w:sz="0" w:space="0" w:color="auto"/>
        <w:left w:val="none" w:sz="0" w:space="0" w:color="auto"/>
        <w:bottom w:val="none" w:sz="0" w:space="0" w:color="auto"/>
        <w:right w:val="none" w:sz="0" w:space="0" w:color="auto"/>
      </w:divBdr>
    </w:div>
    <w:div w:id="19954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odeohlson.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ode\AppData\Roaming\Microsoft\Templates\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paper.dotx</Template>
  <TotalTime>256</TotalTime>
  <Pages>2</Pages>
  <Words>2226</Words>
  <Characters>12693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Adjusted Cash Earnings (ACE)</vt:lpstr>
    </vt:vector>
  </TitlesOfParts>
  <Manager>http://www.godeohlson.com</Manager>
  <Company>paper.dot</Company>
  <LinksUpToDate>false</LinksUpToDate>
  <CharactersWithSpaces>14890</CharactersWithSpaces>
  <SharedDoc>false</SharedDoc>
  <HLinks>
    <vt:vector size="6" baseType="variant">
      <vt:variant>
        <vt:i4>2752545</vt:i4>
      </vt:variant>
      <vt:variant>
        <vt:i4>8</vt:i4>
      </vt:variant>
      <vt:variant>
        <vt:i4>0</vt:i4>
      </vt:variant>
      <vt:variant>
        <vt:i4>5</vt:i4>
      </vt:variant>
      <vt:variant>
        <vt:lpwstr>http://www.godeohlson.com/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Adjusted Cash Earnings (ACE)</dc:title>
  <dc:subject>Financial Statement Analysis and Valuation</dc:subject>
  <dc:creator>Dan Gode and James Ohlson</dc:creator>
  <cp:keywords/>
  <dc:description/>
  <cp:lastModifiedBy>Dan Gode</cp:lastModifiedBy>
  <cp:revision>72</cp:revision>
  <cp:lastPrinted>2013-05-19T19:23:00Z</cp:lastPrinted>
  <dcterms:created xsi:type="dcterms:W3CDTF">2012-01-08T20:33:00Z</dcterms:created>
  <dcterms:modified xsi:type="dcterms:W3CDTF">2016-09-03T23:01:00Z</dcterms:modified>
</cp:coreProperties>
</file>