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685" w:rsidRDefault="00843415" w:rsidP="00F42A00">
      <w:pPr>
        <w:pStyle w:val="Title"/>
      </w:pPr>
      <w:bookmarkStart w:id="0" w:name="_GoBack"/>
      <w:bookmarkEnd w:id="0"/>
      <w:r>
        <w:t xml:space="preserve">Forecasting and Valuation of </w:t>
      </w:r>
      <w:smartTag w:uri="urn:schemas-microsoft-com:office:smarttags" w:element="place">
        <w:smartTag w:uri="urn:schemas-microsoft-com:office:smarttags" w:element="City">
          <w:r>
            <w:t>Enterprise</w:t>
          </w:r>
        </w:smartTag>
      </w:smartTag>
      <w:r>
        <w:t xml:space="preserve"> Cash Flows</w:t>
      </w:r>
    </w:p>
    <w:p w:rsidR="009A7685" w:rsidRDefault="004D635E">
      <w:pPr>
        <w:pStyle w:val="Subtitle"/>
      </w:pPr>
      <w:r>
        <w:t xml:space="preserve">© </w:t>
      </w:r>
      <w:r w:rsidR="009A7685">
        <w:t>Dan Gode and James Ohlson</w:t>
      </w:r>
    </w:p>
    <w:p w:rsidR="009A7685" w:rsidRDefault="009A7685">
      <w:pPr>
        <w:pStyle w:val="Heading1"/>
      </w:pPr>
      <w:r>
        <w:t>Overview</w:t>
      </w:r>
    </w:p>
    <w:p w:rsidR="00B03F4B" w:rsidRDefault="00750FEF" w:rsidP="00A05DFB">
      <w:pPr>
        <w:pStyle w:val="BodyText"/>
      </w:pPr>
      <w:bookmarkStart w:id="1" w:name="OLE_LINK1"/>
      <w:r>
        <w:t xml:space="preserve">A decision to invest in </w:t>
      </w:r>
      <w:r w:rsidR="005B5DDB">
        <w:t>a stock</w:t>
      </w:r>
      <w:r>
        <w:t xml:space="preserve"> proceeds in </w:t>
      </w:r>
      <w:r w:rsidR="00D340A1">
        <w:t>two major</w:t>
      </w:r>
      <w:r>
        <w:t xml:space="preserve"> steps – </w:t>
      </w:r>
      <w:r w:rsidR="00547640">
        <w:t>estimating</w:t>
      </w:r>
      <w:r>
        <w:t xml:space="preserve"> value </w:t>
      </w:r>
      <w:r w:rsidR="00D340A1">
        <w:t>and a</w:t>
      </w:r>
      <w:r w:rsidR="00547640">
        <w:t xml:space="preserve">ssessing </w:t>
      </w:r>
      <w:r w:rsidR="00B03F4B">
        <w:t xml:space="preserve">why market value differs from </w:t>
      </w:r>
      <w:r w:rsidR="00547640">
        <w:t xml:space="preserve">estimated </w:t>
      </w:r>
      <w:r>
        <w:t>value.</w:t>
      </w:r>
      <w:r w:rsidR="008F05C0">
        <w:t xml:space="preserve"> </w:t>
      </w:r>
      <w:r w:rsidR="00B03F4B">
        <w:t xml:space="preserve">This spreadsheet implements </w:t>
      </w:r>
      <w:r w:rsidR="00D67B7C">
        <w:t>both these steps.</w:t>
      </w:r>
      <w:r w:rsidR="008F5E0C">
        <w:t xml:space="preserve"> </w:t>
      </w:r>
    </w:p>
    <w:p w:rsidR="009C6588" w:rsidRDefault="000077C1" w:rsidP="00A05DFB">
      <w:pPr>
        <w:pStyle w:val="BodyText"/>
      </w:pPr>
      <w:r>
        <w:t>In the first step</w:t>
      </w:r>
      <w:r w:rsidR="008F05C0">
        <w:t xml:space="preserve">, the spreadsheet </w:t>
      </w:r>
      <w:r w:rsidR="00547640">
        <w:t xml:space="preserve">estimates </w:t>
      </w:r>
      <w:r w:rsidR="008F5E0C">
        <w:t>enterprise</w:t>
      </w:r>
      <w:r w:rsidR="008F05C0">
        <w:t xml:space="preserve"> value using the discounted enterprise cash flow valuation mode</w:t>
      </w:r>
      <w:r w:rsidR="00423B73">
        <w:t>l (DCF)</w:t>
      </w:r>
      <w:r w:rsidR="0018174A">
        <w:t xml:space="preserve"> and then subtracts the existing net financial liabilities to derive equity value</w:t>
      </w:r>
      <w:r w:rsidR="00423B73">
        <w:t>. The model rests on</w:t>
      </w:r>
      <w:r w:rsidR="008F05C0">
        <w:t xml:space="preserve"> </w:t>
      </w:r>
      <w:r w:rsidR="0018174A">
        <w:t xml:space="preserve">enterprise </w:t>
      </w:r>
      <w:r w:rsidR="008F05C0">
        <w:t>cash flow drivers</w:t>
      </w:r>
      <w:r w:rsidR="002449D4">
        <w:t xml:space="preserve"> identified in the FSA1 spreadsheet – g</w:t>
      </w:r>
      <w:r w:rsidR="008F05C0">
        <w:t>rowth, margins, and net enterprise</w:t>
      </w:r>
      <w:r w:rsidR="002449D4">
        <w:t xml:space="preserve"> asset intensity.</w:t>
      </w:r>
      <w:r w:rsidR="008F5E0C">
        <w:t xml:space="preserve"> </w:t>
      </w:r>
    </w:p>
    <w:p w:rsidR="002D7647" w:rsidRDefault="00606B72" w:rsidP="00A05DFB">
      <w:pPr>
        <w:pStyle w:val="BodyText"/>
      </w:pPr>
      <w:r>
        <w:t xml:space="preserve">Although forecasts of future net financial liabilities are not needed to derive equity value, they are </w:t>
      </w:r>
      <w:r w:rsidR="00E917C8">
        <w:t>needed</w:t>
      </w:r>
      <w:r w:rsidR="009C6588">
        <w:t xml:space="preserve"> </w:t>
      </w:r>
      <w:r w:rsidR="00E917C8">
        <w:t xml:space="preserve">for two </w:t>
      </w:r>
      <w:r>
        <w:t xml:space="preserve">other </w:t>
      </w:r>
      <w:r w:rsidR="00E917C8">
        <w:t xml:space="preserve">reasons: (i) </w:t>
      </w:r>
      <w:r w:rsidR="009C6588">
        <w:t xml:space="preserve">to compare model forecasts to analyst forecasts, which are only available for net income if one is using public databases, </w:t>
      </w:r>
      <w:r w:rsidR="00E917C8">
        <w:t xml:space="preserve">and (ii) </w:t>
      </w:r>
      <w:r w:rsidR="009C6588">
        <w:t xml:space="preserve">to compute </w:t>
      </w:r>
      <w:r w:rsidR="002D7647">
        <w:t>widely used relative valuation metrics such as the price to forward earnings ratio and price to forward dividends ratio.</w:t>
      </w:r>
    </w:p>
    <w:p w:rsidR="001D0972" w:rsidRDefault="002D7647" w:rsidP="001D0972">
      <w:pPr>
        <w:pStyle w:val="BodyText"/>
      </w:pPr>
      <w:r>
        <w:t>Therefore, i</w:t>
      </w:r>
      <w:r w:rsidR="000077C1">
        <w:t>n the second step</w:t>
      </w:r>
      <w:r w:rsidR="008F05C0">
        <w:t xml:space="preserve">, </w:t>
      </w:r>
      <w:r w:rsidR="00E17A6E">
        <w:t>the spreadsheet supplements the DCF model with forecasts of leverage and interest rates to forecast net income</w:t>
      </w:r>
      <w:r w:rsidR="00342F0C">
        <w:t xml:space="preserve"> and dividends.</w:t>
      </w:r>
      <w:r w:rsidR="005E6180">
        <w:t xml:space="preserve"> This step aids in identifying the potential causes for deviation between estimated value and market value by allowing one to compare model forecasts to analyst net income forecasts</w:t>
      </w:r>
      <w:r w:rsidR="001851E3">
        <w:t>,</w:t>
      </w:r>
      <w:r w:rsidR="005E6180">
        <w:t xml:space="preserve"> and to compare the firm’s </w:t>
      </w:r>
      <w:bookmarkEnd w:id="1"/>
      <w:r w:rsidR="00225536">
        <w:t xml:space="preserve">forward </w:t>
      </w:r>
      <w:r w:rsidR="00C45AB4">
        <w:t>price to earnings</w:t>
      </w:r>
      <w:r w:rsidR="00DE3D3B">
        <w:t xml:space="preserve"> ratio, </w:t>
      </w:r>
      <w:r w:rsidR="00C45AB4">
        <w:t>price</w:t>
      </w:r>
      <w:r w:rsidR="00DE3D3B">
        <w:t xml:space="preserve"> to book ratio, and pr</w:t>
      </w:r>
      <w:r w:rsidR="00262405">
        <w:t>ice to forward dividends ratio</w:t>
      </w:r>
      <w:r w:rsidR="005E6180">
        <w:t xml:space="preserve"> to its</w:t>
      </w:r>
      <w:r w:rsidR="00262405">
        <w:t xml:space="preserve"> peers.</w:t>
      </w:r>
    </w:p>
    <w:p w:rsidR="0067312A" w:rsidRDefault="006B4382" w:rsidP="001D0972">
      <w:pPr>
        <w:pStyle w:val="Heading2"/>
      </w:pPr>
      <w:r>
        <w:t xml:space="preserve">Enterprise activities: </w:t>
      </w:r>
      <w:r w:rsidR="003B575B">
        <w:t>T</w:t>
      </w:r>
      <w:r w:rsidR="0067312A">
        <w:t xml:space="preserve">he </w:t>
      </w:r>
      <w:r>
        <w:t>discounted enterprise cash flows</w:t>
      </w:r>
      <w:r w:rsidR="0067312A">
        <w:t xml:space="preserve"> model</w:t>
      </w:r>
      <w:r>
        <w:t xml:space="preserve"> (DCF)</w:t>
      </w:r>
    </w:p>
    <w:p w:rsidR="00F05167" w:rsidRPr="00F05167" w:rsidRDefault="00F05167" w:rsidP="00F05167">
      <w:pPr>
        <w:pStyle w:val="BodyText"/>
      </w:pPr>
      <w:r>
        <w:t>The DCF model is implemented as follows: [</w:t>
      </w:r>
      <w:r w:rsidR="00E42EF6">
        <w:t>Inputs to be fo</w:t>
      </w:r>
      <w:r>
        <w:t>recast</w:t>
      </w:r>
      <w:r w:rsidR="00E42EF6">
        <w:t>ed are</w:t>
      </w:r>
      <w:r>
        <w:t xml:space="preserve"> in </w:t>
      </w:r>
      <w:r w:rsidR="005A219B" w:rsidRPr="005A219B">
        <w:rPr>
          <w:b/>
          <w:i/>
          <w:color w:val="008000"/>
        </w:rPr>
        <w:t xml:space="preserve">bold </w:t>
      </w:r>
      <w:r w:rsidRPr="005A219B">
        <w:rPr>
          <w:b/>
          <w:i/>
          <w:color w:val="008000"/>
        </w:rPr>
        <w:t>green italics</w:t>
      </w:r>
      <w:r>
        <w:t>.]</w:t>
      </w:r>
    </w:p>
    <w:p w:rsidR="0067312A" w:rsidRDefault="0067312A" w:rsidP="00124BE6">
      <w:pPr>
        <w:pStyle w:val="BodyText"/>
        <w:numPr>
          <w:ilvl w:val="0"/>
          <w:numId w:val="12"/>
        </w:numPr>
      </w:pPr>
      <w:r>
        <w:t xml:space="preserve">Forecast enterprise cash flows </w:t>
      </w:r>
    </w:p>
    <w:p w:rsidR="0067312A" w:rsidRDefault="0067312A" w:rsidP="0067312A">
      <w:pPr>
        <w:pStyle w:val="BodyText"/>
        <w:numPr>
          <w:ilvl w:val="1"/>
          <w:numId w:val="12"/>
        </w:numPr>
      </w:pPr>
      <w:r>
        <w:t>Enterprise cash flows = enterprise profit after tax – change in net enterprise assets</w:t>
      </w:r>
    </w:p>
    <w:p w:rsidR="00B9792A" w:rsidRPr="003353B7" w:rsidRDefault="00B9792A" w:rsidP="00B9792A">
      <w:pPr>
        <w:pStyle w:val="BodyText"/>
        <w:numPr>
          <w:ilvl w:val="1"/>
          <w:numId w:val="12"/>
        </w:numPr>
      </w:pPr>
      <w:r>
        <w:t>The three drivers of enterprise cash flows are (1) sales revenue and its subsequent growth; (2) after tax enterprise profit margin; (3)</w:t>
      </w:r>
      <w:r w:rsidR="003353B7">
        <w:t xml:space="preserve"> net enterprise asset intensity as measured by the </w:t>
      </w:r>
      <w:r w:rsidR="003353B7" w:rsidRPr="003353B7">
        <w:t>ratio of net enterprise assets to sales</w:t>
      </w:r>
      <w:r w:rsidR="003353B7">
        <w:t>.</w:t>
      </w:r>
    </w:p>
    <w:p w:rsidR="00B20269" w:rsidRDefault="00606B72" w:rsidP="00B9792A">
      <w:pPr>
        <w:pStyle w:val="BodyText"/>
        <w:numPr>
          <w:ilvl w:val="2"/>
          <w:numId w:val="12"/>
        </w:numPr>
      </w:pPr>
      <w:r>
        <w:t>S</w:t>
      </w:r>
      <w:r w:rsidR="00B20269">
        <w:t>ales</w:t>
      </w:r>
      <w:r>
        <w:rPr>
          <w:vertAlign w:val="subscript"/>
        </w:rPr>
        <w:t>t+1</w:t>
      </w:r>
      <w:r w:rsidR="00B20269">
        <w:t xml:space="preserve"> = </w:t>
      </w:r>
      <w:r>
        <w:t>S</w:t>
      </w:r>
      <w:r w:rsidR="00B20269">
        <w:t>ales</w:t>
      </w:r>
      <w:r>
        <w:rPr>
          <w:vertAlign w:val="subscript"/>
        </w:rPr>
        <w:t>t</w:t>
      </w:r>
      <w:r w:rsidR="00B20269">
        <w:t xml:space="preserve"> * (1 + </w:t>
      </w:r>
      <w:r w:rsidR="00B20269" w:rsidRPr="00B20269">
        <w:rPr>
          <w:b/>
          <w:i/>
          <w:color w:val="008000"/>
        </w:rPr>
        <w:t>forecasted sales growth</w:t>
      </w:r>
      <w:r w:rsidR="00B20269">
        <w:t>)</w:t>
      </w:r>
    </w:p>
    <w:p w:rsidR="0067312A" w:rsidRDefault="0067312A" w:rsidP="00B9792A">
      <w:pPr>
        <w:pStyle w:val="BodyText"/>
        <w:numPr>
          <w:ilvl w:val="2"/>
          <w:numId w:val="12"/>
        </w:numPr>
      </w:pPr>
      <w:r>
        <w:t>Enterprise profit after tax</w:t>
      </w:r>
      <w:r w:rsidR="00606B72" w:rsidRPr="00606B72">
        <w:rPr>
          <w:vertAlign w:val="subscript"/>
        </w:rPr>
        <w:t>t+1</w:t>
      </w:r>
      <w:r>
        <w:t xml:space="preserve"> = </w:t>
      </w:r>
      <w:r w:rsidR="00F05167" w:rsidRPr="00B20269">
        <w:t>s</w:t>
      </w:r>
      <w:r w:rsidRPr="00B20269">
        <w:t>ales</w:t>
      </w:r>
      <w:r w:rsidR="00606B72">
        <w:rPr>
          <w:vertAlign w:val="subscript"/>
        </w:rPr>
        <w:t>t+1</w:t>
      </w:r>
      <w:r>
        <w:t xml:space="preserve"> * </w:t>
      </w:r>
      <w:r w:rsidR="00F05167" w:rsidRPr="005A219B">
        <w:rPr>
          <w:b/>
          <w:i/>
          <w:color w:val="008000"/>
        </w:rPr>
        <w:t>forecasted e</w:t>
      </w:r>
      <w:r w:rsidRPr="005A219B">
        <w:rPr>
          <w:b/>
          <w:i/>
          <w:color w:val="008000"/>
        </w:rPr>
        <w:t>nterprise profit margin after tax</w:t>
      </w:r>
    </w:p>
    <w:p w:rsidR="0067312A" w:rsidRDefault="00F05167" w:rsidP="00B9792A">
      <w:pPr>
        <w:pStyle w:val="BodyText"/>
        <w:numPr>
          <w:ilvl w:val="2"/>
          <w:numId w:val="12"/>
        </w:numPr>
      </w:pPr>
      <w:r>
        <w:t>Net enterprise assets</w:t>
      </w:r>
      <w:r w:rsidR="00606B72" w:rsidRPr="00606B72">
        <w:rPr>
          <w:vertAlign w:val="subscript"/>
        </w:rPr>
        <w:t>t</w:t>
      </w:r>
      <w:r w:rsidR="003954F1">
        <w:rPr>
          <w:vertAlign w:val="subscript"/>
        </w:rPr>
        <w:t>+1</w:t>
      </w:r>
      <w:r>
        <w:t xml:space="preserve"> = </w:t>
      </w:r>
      <w:r w:rsidRPr="005A219B">
        <w:rPr>
          <w:b/>
          <w:i/>
          <w:color w:val="008000"/>
        </w:rPr>
        <w:t xml:space="preserve">forecasted </w:t>
      </w:r>
      <w:r w:rsidR="003353B7">
        <w:rPr>
          <w:b/>
          <w:i/>
          <w:color w:val="008000"/>
        </w:rPr>
        <w:t>net enterprise asset intensity</w:t>
      </w:r>
      <w:r w:rsidR="0067312A">
        <w:t xml:space="preserve"> * sales</w:t>
      </w:r>
      <w:r w:rsidR="00606B72" w:rsidRPr="00606B72">
        <w:rPr>
          <w:vertAlign w:val="subscript"/>
        </w:rPr>
        <w:t>t+1</w:t>
      </w:r>
    </w:p>
    <w:p w:rsidR="00012537" w:rsidRDefault="00A1447E" w:rsidP="0067312A">
      <w:pPr>
        <w:pStyle w:val="BodyText"/>
        <w:numPr>
          <w:ilvl w:val="1"/>
          <w:numId w:val="12"/>
        </w:numPr>
      </w:pPr>
      <w:r>
        <w:t>It forecasts g</w:t>
      </w:r>
      <w:r w:rsidR="00604B37">
        <w:t xml:space="preserve">rowth, margins, and asset intensity </w:t>
      </w:r>
      <w:r w:rsidR="00012537">
        <w:t>for a</w:t>
      </w:r>
      <w:r w:rsidR="00943030">
        <w:t>n</w:t>
      </w:r>
      <w:r w:rsidR="00012537">
        <w:t xml:space="preserve"> </w:t>
      </w:r>
      <w:r w:rsidR="001D73E4">
        <w:t>explicit</w:t>
      </w:r>
      <w:r w:rsidR="00012537">
        <w:t xml:space="preserve"> horizon. </w:t>
      </w:r>
      <w:r>
        <w:t>It assumes that these inputs are constant b</w:t>
      </w:r>
      <w:r w:rsidR="00012537">
        <w:t xml:space="preserve">eyond the </w:t>
      </w:r>
      <w:r>
        <w:t xml:space="preserve">explicit </w:t>
      </w:r>
      <w:r w:rsidR="00012537">
        <w:t xml:space="preserve">horizon. </w:t>
      </w:r>
    </w:p>
    <w:p w:rsidR="00B030AA" w:rsidRDefault="0067312A" w:rsidP="00124BE6">
      <w:pPr>
        <w:pStyle w:val="BodyText"/>
        <w:numPr>
          <w:ilvl w:val="0"/>
          <w:numId w:val="12"/>
        </w:numPr>
      </w:pPr>
      <w:smartTag w:uri="urn:schemas-microsoft-com:office:smarttags" w:element="City">
        <w:smartTag w:uri="urn:schemas-microsoft-com:office:smarttags" w:element="place">
          <w:r>
            <w:t>Enterprise</w:t>
          </w:r>
        </w:smartTag>
      </w:smartTag>
      <w:r>
        <w:t xml:space="preserve"> value = </w:t>
      </w:r>
      <w:r w:rsidR="00A1447E">
        <w:t>present value of f</w:t>
      </w:r>
      <w:r w:rsidR="00AD1AB5">
        <w:t>orecasted</w:t>
      </w:r>
      <w:r w:rsidR="00457D08">
        <w:t xml:space="preserve"> enterprise cash flows discount</w:t>
      </w:r>
      <w:r w:rsidR="00AD1AB5">
        <w:t>ed</w:t>
      </w:r>
      <w:r w:rsidR="00457D08">
        <w:t xml:space="preserve"> </w:t>
      </w:r>
      <w:r w:rsidR="00A1447E">
        <w:t xml:space="preserve">at the </w:t>
      </w:r>
      <w:r w:rsidR="00AD1AB5">
        <w:t>enterprise cost of capital</w:t>
      </w:r>
      <w:r w:rsidR="00531E72">
        <w:t xml:space="preserve"> (</w:t>
      </w:r>
      <w:r w:rsidR="00DA6120" w:rsidRPr="00DA6120">
        <w:rPr>
          <w:b/>
          <w:i/>
          <w:color w:val="008000"/>
        </w:rPr>
        <w:t>wacc</w:t>
      </w:r>
      <w:r w:rsidR="00531E72">
        <w:t>)</w:t>
      </w:r>
      <w:r w:rsidR="00C14F9A">
        <w:t>.</w:t>
      </w:r>
    </w:p>
    <w:p w:rsidR="0067312A" w:rsidRDefault="0067312A" w:rsidP="00124BE6">
      <w:pPr>
        <w:pStyle w:val="BodyText"/>
        <w:numPr>
          <w:ilvl w:val="0"/>
          <w:numId w:val="12"/>
        </w:numPr>
      </w:pPr>
      <w:r>
        <w:t xml:space="preserve">Equity value = </w:t>
      </w:r>
      <w:r w:rsidR="00856609">
        <w:t xml:space="preserve">enterprise value </w:t>
      </w:r>
      <w:r>
        <w:t xml:space="preserve">– existing net financial liabilities. </w:t>
      </w:r>
      <w:r w:rsidR="00F2338E">
        <w:t>E</w:t>
      </w:r>
      <w:r>
        <w:t>xisting net financial liabilities</w:t>
      </w:r>
      <w:r w:rsidR="00DE6736">
        <w:t xml:space="preserve"> </w:t>
      </w:r>
      <w:r w:rsidR="00F2338E">
        <w:t>suffice</w:t>
      </w:r>
      <w:r>
        <w:t>; forecast</w:t>
      </w:r>
      <w:r w:rsidR="0096658E">
        <w:t>s of future</w:t>
      </w:r>
      <w:r>
        <w:t xml:space="preserve"> financial </w:t>
      </w:r>
      <w:r w:rsidR="0096658E">
        <w:t>liabilities are not needed</w:t>
      </w:r>
      <w:r>
        <w:t>.</w:t>
      </w:r>
    </w:p>
    <w:p w:rsidR="00711925" w:rsidRDefault="00DF58D6" w:rsidP="00711925">
      <w:pPr>
        <w:pStyle w:val="BodyText"/>
      </w:pPr>
      <w:r>
        <w:rPr>
          <w:noProof/>
        </w:rPr>
        <mc:AlternateContent>
          <mc:Choice Requires="wpg">
            <w:drawing>
              <wp:inline distT="0" distB="0" distL="0" distR="0" wp14:anchorId="233D7F71" wp14:editId="094ED531">
                <wp:extent cx="5650230" cy="640080"/>
                <wp:effectExtent l="19050" t="19050" r="7620" b="7620"/>
                <wp:docPr id="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230" cy="640080"/>
                          <a:chOff x="1460" y="1777"/>
                          <a:chExt cx="8898" cy="1008"/>
                        </a:xfrm>
                      </wpg:grpSpPr>
                      <wps:wsp>
                        <wps:cNvPr id="2" name="Text Box 135"/>
                        <wps:cNvSpPr txBox="1">
                          <a:spLocks noChangeArrowheads="1"/>
                        </wps:cNvSpPr>
                        <wps:spPr bwMode="auto">
                          <a:xfrm>
                            <a:off x="1460" y="1777"/>
                            <a:ext cx="4017" cy="987"/>
                          </a:xfrm>
                          <a:prstGeom prst="rect">
                            <a:avLst/>
                          </a:prstGeom>
                          <a:gradFill rotWithShape="1">
                            <a:gsLst>
                              <a:gs pos="0">
                                <a:srgbClr val="FFFFFF"/>
                              </a:gs>
                              <a:gs pos="100000">
                                <a:srgbClr val="CCECFF"/>
                              </a:gs>
                            </a:gsLst>
                            <a:path path="shape">
                              <a:fillToRect l="50000" t="50000" r="50000" b="50000"/>
                            </a:path>
                          </a:gradFill>
                          <a:ln w="254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1DFE" w:rsidRPr="00C931BA" w:rsidRDefault="005B1DFE" w:rsidP="005B1DFE">
                              <w:pPr>
                                <w:jc w:val="center"/>
                                <w:rPr>
                                  <w:b/>
                                </w:rPr>
                              </w:pPr>
                              <w:smartTag w:uri="urn:schemas-microsoft-com:office:smarttags" w:element="place">
                                <w:smartTag w:uri="urn:schemas-microsoft-com:office:smarttags" w:element="City">
                                  <w:r w:rsidRPr="00C931BA">
                                    <w:rPr>
                                      <w:b/>
                                    </w:rPr>
                                    <w:t>Enterprise</w:t>
                                  </w:r>
                                </w:smartTag>
                              </w:smartTag>
                              <w:r w:rsidRPr="00C931BA">
                                <w:rPr>
                                  <w:b/>
                                </w:rPr>
                                <w:t xml:space="preserve"> value </w:t>
                              </w:r>
                            </w:p>
                            <w:p w:rsidR="005B1DFE" w:rsidRDefault="0093738A" w:rsidP="005B1DFE">
                              <w:pPr>
                                <w:jc w:val="center"/>
                              </w:pPr>
                              <w:r>
                                <w:t>V</w:t>
                              </w:r>
                              <w:r w:rsidR="005B1DFE">
                                <w:t>alue of net enterprise assets</w:t>
                              </w:r>
                            </w:p>
                            <w:p w:rsidR="005B1DFE" w:rsidRDefault="005B1DFE" w:rsidP="005B1DFE">
                              <w:pPr>
                                <w:jc w:val="center"/>
                              </w:pPr>
                              <w:r>
                                <w:t>= PV of enterprise cash flows</w:t>
                              </w:r>
                            </w:p>
                            <w:p w:rsidR="005B1DFE" w:rsidRDefault="005B1DFE" w:rsidP="005B1DFE"/>
                          </w:txbxContent>
                        </wps:txbx>
                        <wps:bodyPr rot="0" vert="horz" wrap="square" lIns="91440" tIns="45720" rIns="91440" bIns="45720" anchor="t" anchorCtr="0" upright="1">
                          <a:noAutofit/>
                        </wps:bodyPr>
                      </wps:wsp>
                      <wps:wsp>
                        <wps:cNvPr id="3" name="Text Box 136"/>
                        <wps:cNvSpPr txBox="1">
                          <a:spLocks noChangeArrowheads="1"/>
                        </wps:cNvSpPr>
                        <wps:spPr bwMode="auto">
                          <a:xfrm>
                            <a:off x="5648" y="1777"/>
                            <a:ext cx="4710" cy="6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DFE" w:rsidRDefault="0093738A" w:rsidP="005B1DFE">
                              <w:pPr>
                                <w:jc w:val="center"/>
                              </w:pPr>
                              <w:r>
                                <w:t>V</w:t>
                              </w:r>
                              <w:r w:rsidR="005B1DFE">
                                <w:t>alue of financial liabilities</w:t>
                              </w:r>
                            </w:p>
                            <w:p w:rsidR="005B1DFE" w:rsidRDefault="005B1DFE" w:rsidP="005B1DFE">
                              <w:pPr>
                                <w:jc w:val="center"/>
                              </w:pPr>
                              <w:r>
                                <w:t xml:space="preserve">– </w:t>
                              </w:r>
                              <w:r w:rsidR="0093738A">
                                <w:t>V</w:t>
                              </w:r>
                              <w:r>
                                <w:t>alue of financial assets</w:t>
                              </w:r>
                            </w:p>
                          </w:txbxContent>
                        </wps:txbx>
                        <wps:bodyPr rot="0" vert="horz" wrap="square" lIns="91440" tIns="45720" rIns="91440" bIns="45720" anchor="t" anchorCtr="0" upright="1">
                          <a:noAutofit/>
                        </wps:bodyPr>
                      </wps:wsp>
                      <wps:wsp>
                        <wps:cNvPr id="4" name="Text Box 137"/>
                        <wps:cNvSpPr txBox="1">
                          <a:spLocks noChangeArrowheads="1"/>
                        </wps:cNvSpPr>
                        <wps:spPr bwMode="auto">
                          <a:xfrm>
                            <a:off x="5648" y="2425"/>
                            <a:ext cx="4710"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DFE" w:rsidRDefault="0093738A" w:rsidP="005B1DFE">
                              <w:pPr>
                                <w:jc w:val="center"/>
                              </w:pPr>
                              <w:r>
                                <w:t>V</w:t>
                              </w:r>
                              <w:r w:rsidR="005B1DFE">
                                <w:t>alue of equity</w:t>
                              </w:r>
                            </w:p>
                          </w:txbxContent>
                        </wps:txbx>
                        <wps:bodyPr rot="0" vert="horz" wrap="square" lIns="91440" tIns="18288" rIns="91440" bIns="18288" anchor="t" anchorCtr="0" upright="1">
                          <a:noAutofit/>
                        </wps:bodyPr>
                      </wps:wsp>
                    </wpg:wgp>
                  </a:graphicData>
                </a:graphic>
              </wp:inline>
            </w:drawing>
          </mc:Choice>
          <mc:Fallback>
            <w:pict>
              <v:group w14:anchorId="233D7F71" id="Group 134" o:spid="_x0000_s1026" style="width:444.9pt;height:50.4pt;mso-position-horizontal-relative:char;mso-position-vertical-relative:line" coordorigin="1460,1777" coordsize="8898,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">
                <v:shapetype id="_x0000_t202" coordsize="21600,21600" o:spt="202" path="m,l,21600r21600,l21600,xe">
                  <v:stroke joinstyle="miter"/>
                  <v:path gradientshapeok="t" o:connecttype="rect"/>
                </v:shapetype>
                <v:shape id="Text Box 135" o:spid="_x0000_s1027" type="#_x0000_t202" style="position:absolute;left:1460;top:1777;width:4017;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" strokeweight="2pt">
                  <v:fill color2="#ccecff" rotate="t" focusposition=".5,.5" focussize="" focus="100%" type="gradientRadial"/>
                  <v:stroke linestyle="thinThin"/>
                  <v:textbox>
                    <w:txbxContent>
                      <w:p w:rsidR="005B1DFE" w:rsidRPr="00C931BA" w:rsidRDefault="005B1DFE" w:rsidP="005B1DFE">
                        <w:pPr>
                          <w:jc w:val="center"/>
                          <w:rPr>
                            <w:b/>
                          </w:rPr>
                        </w:pPr>
                        <w:smartTag w:uri="urn:schemas-microsoft-com:office:smarttags" w:element="place">
                          <w:smartTag w:uri="urn:schemas-microsoft-com:office:smarttags" w:element="City">
                            <w:r w:rsidRPr="00C931BA">
                              <w:rPr>
                                <w:b/>
                              </w:rPr>
                              <w:t>Enterprise</w:t>
                            </w:r>
                          </w:smartTag>
                        </w:smartTag>
                        <w:r w:rsidRPr="00C931BA">
                          <w:rPr>
                            <w:b/>
                          </w:rPr>
                          <w:t xml:space="preserve"> value </w:t>
                        </w:r>
                      </w:p>
                      <w:p w:rsidR="005B1DFE" w:rsidRDefault="0093738A" w:rsidP="005B1DFE">
                        <w:pPr>
                          <w:jc w:val="center"/>
                        </w:pPr>
                        <w:r>
                          <w:t>V</w:t>
                        </w:r>
                        <w:r w:rsidR="005B1DFE">
                          <w:t>alue of net enterprise assets</w:t>
                        </w:r>
                      </w:p>
                      <w:p w:rsidR="005B1DFE" w:rsidRDefault="005B1DFE" w:rsidP="005B1DFE">
                        <w:pPr>
                          <w:jc w:val="center"/>
                        </w:pPr>
                        <w:r>
                          <w:t>= PV of enterprise cash flows</w:t>
                        </w:r>
                      </w:p>
                      <w:p w:rsidR="005B1DFE" w:rsidRDefault="005B1DFE" w:rsidP="005B1DFE"/>
                    </w:txbxContent>
                  </v:textbox>
                </v:shape>
                <v:shape id="Text Box 136" o:spid="_x0000_s1028" type="#_x0000_t202" style="position:absolute;left:5648;top:1777;width:471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" filled="f" strokeweight=".25pt">
                  <v:textbox>
                    <w:txbxContent>
                      <w:p w:rsidR="005B1DFE" w:rsidRDefault="0093738A" w:rsidP="005B1DFE">
                        <w:pPr>
                          <w:jc w:val="center"/>
                        </w:pPr>
                        <w:r>
                          <w:t>V</w:t>
                        </w:r>
                        <w:r w:rsidR="005B1DFE">
                          <w:t>alue of financial liabilities</w:t>
                        </w:r>
                      </w:p>
                      <w:p w:rsidR="005B1DFE" w:rsidRDefault="005B1DFE" w:rsidP="005B1DFE">
                        <w:pPr>
                          <w:jc w:val="center"/>
                        </w:pPr>
                        <w:r>
                          <w:t xml:space="preserve">– </w:t>
                        </w:r>
                        <w:r w:rsidR="0093738A">
                          <w:t>V</w:t>
                        </w:r>
                        <w:r>
                          <w:t>alue of financial assets</w:t>
                        </w:r>
                      </w:p>
                    </w:txbxContent>
                  </v:textbox>
                </v:shape>
                <v:shape id="Text Box 137" o:spid="_x0000_s1029" type="#_x0000_t202" style="position:absolute;left:5648;top:2425;width:47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" filled="f" strokeweight=".25pt">
                  <v:textbox inset=",1.44pt,,1.44pt">
                    <w:txbxContent>
                      <w:p w:rsidR="005B1DFE" w:rsidRDefault="0093738A" w:rsidP="005B1DFE">
                        <w:pPr>
                          <w:jc w:val="center"/>
                        </w:pPr>
                        <w:r>
                          <w:t>V</w:t>
                        </w:r>
                        <w:r w:rsidR="005B1DFE">
                          <w:t>alue of equity</w:t>
                        </w:r>
                      </w:p>
                    </w:txbxContent>
                  </v:textbox>
                </v:shape>
                <w10:anchorlock/>
              </v:group>
            </w:pict>
          </mc:Fallback>
        </mc:AlternateContent>
      </w:r>
    </w:p>
    <w:p w:rsidR="0067312A" w:rsidRDefault="006B4382" w:rsidP="0067312A">
      <w:pPr>
        <w:pStyle w:val="Heading2"/>
      </w:pPr>
      <w:r>
        <w:lastRenderedPageBreak/>
        <w:t>Financial activities: N</w:t>
      </w:r>
      <w:r w:rsidR="0067312A">
        <w:t>et income</w:t>
      </w:r>
      <w:r>
        <w:t xml:space="preserve">, </w:t>
      </w:r>
      <w:r w:rsidR="00687180">
        <w:t>dividends</w:t>
      </w:r>
      <w:r>
        <w:t>, and book value of equity</w:t>
      </w:r>
    </w:p>
    <w:p w:rsidR="0067312A" w:rsidRDefault="007A5B90" w:rsidP="00B20269">
      <w:pPr>
        <w:pStyle w:val="BodyText"/>
        <w:keepNext/>
      </w:pPr>
      <w:r>
        <w:t xml:space="preserve">This </w:t>
      </w:r>
      <w:r w:rsidR="00376CB2">
        <w:t>part of the spreadsheet</w:t>
      </w:r>
      <w:r>
        <w:t xml:space="preserve"> proceeds as follows:</w:t>
      </w:r>
    </w:p>
    <w:p w:rsidR="00376CB2" w:rsidRDefault="00376CB2" w:rsidP="00856609">
      <w:pPr>
        <w:pStyle w:val="BodyText"/>
        <w:numPr>
          <w:ilvl w:val="0"/>
          <w:numId w:val="12"/>
        </w:numPr>
      </w:pPr>
      <w:r>
        <w:t>Derive financial statements</w:t>
      </w:r>
    </w:p>
    <w:p w:rsidR="00F05167" w:rsidRDefault="0067312A" w:rsidP="00376CB2">
      <w:pPr>
        <w:pStyle w:val="BodyText"/>
        <w:numPr>
          <w:ilvl w:val="1"/>
          <w:numId w:val="12"/>
        </w:numPr>
      </w:pPr>
      <w:r>
        <w:t xml:space="preserve">Net financial liabilities = </w:t>
      </w:r>
      <w:r w:rsidR="00F05167" w:rsidRPr="005A219B">
        <w:rPr>
          <w:b/>
          <w:i/>
          <w:color w:val="008000"/>
        </w:rPr>
        <w:t>forecasted ratio of net financial liabilities to net enterprise assets</w:t>
      </w:r>
      <w:r w:rsidR="00F05167">
        <w:t xml:space="preserve"> * net enterprise assets</w:t>
      </w:r>
    </w:p>
    <w:p w:rsidR="00F05167" w:rsidRDefault="00F05167" w:rsidP="00376CB2">
      <w:pPr>
        <w:pStyle w:val="BodyText"/>
        <w:numPr>
          <w:ilvl w:val="1"/>
          <w:numId w:val="12"/>
        </w:numPr>
      </w:pPr>
      <w:r>
        <w:t xml:space="preserve">Net </w:t>
      </w:r>
      <w:r w:rsidR="0031103C">
        <w:t>financial</w:t>
      </w:r>
      <w:r>
        <w:t xml:space="preserve"> expense </w:t>
      </w:r>
      <w:r w:rsidR="002278F8">
        <w:t xml:space="preserve">after tax </w:t>
      </w:r>
      <w:r>
        <w:t xml:space="preserve">= </w:t>
      </w:r>
      <w:r w:rsidRPr="005A219B">
        <w:rPr>
          <w:b/>
          <w:i/>
          <w:color w:val="008000"/>
        </w:rPr>
        <w:t xml:space="preserve">forecasted net </w:t>
      </w:r>
      <w:r w:rsidR="0031103C" w:rsidRPr="005A219B">
        <w:rPr>
          <w:b/>
          <w:i/>
          <w:color w:val="008000"/>
        </w:rPr>
        <w:t>financial expense</w:t>
      </w:r>
      <w:r w:rsidRPr="005A219B">
        <w:rPr>
          <w:b/>
          <w:i/>
          <w:color w:val="008000"/>
        </w:rPr>
        <w:t xml:space="preserve"> rate after ta</w:t>
      </w:r>
      <w:r w:rsidRPr="00F05167">
        <w:rPr>
          <w:i/>
          <w:color w:val="008000"/>
        </w:rPr>
        <w:t>x</w:t>
      </w:r>
      <w:r>
        <w:t xml:space="preserve"> * net financial liabilities</w:t>
      </w:r>
    </w:p>
    <w:p w:rsidR="007A5B90" w:rsidRDefault="007A5B90" w:rsidP="00376CB2">
      <w:pPr>
        <w:pStyle w:val="BodyText"/>
        <w:numPr>
          <w:ilvl w:val="1"/>
          <w:numId w:val="12"/>
        </w:numPr>
      </w:pPr>
      <w:r>
        <w:t xml:space="preserve">Net income = enterprise profit after tax – net </w:t>
      </w:r>
      <w:r w:rsidR="0031103C">
        <w:t>financial</w:t>
      </w:r>
      <w:r>
        <w:t xml:space="preserve"> expense</w:t>
      </w:r>
      <w:r w:rsidR="002278F8">
        <w:t xml:space="preserve"> after tax</w:t>
      </w:r>
    </w:p>
    <w:p w:rsidR="007A5B90" w:rsidRDefault="00672D70" w:rsidP="00376CB2">
      <w:pPr>
        <w:pStyle w:val="BodyText"/>
        <w:numPr>
          <w:ilvl w:val="1"/>
          <w:numId w:val="12"/>
        </w:numPr>
      </w:pPr>
      <w:r>
        <w:t>Net d</w:t>
      </w:r>
      <w:r w:rsidR="00711925">
        <w:t>istributions</w:t>
      </w:r>
      <w:r w:rsidR="00F05167">
        <w:t xml:space="preserve"> = </w:t>
      </w:r>
      <w:r>
        <w:t xml:space="preserve">contributions from equity holders – distributions  to equity holders = </w:t>
      </w:r>
      <w:r w:rsidR="00F05167">
        <w:t xml:space="preserve">enterprise cash flows </w:t>
      </w:r>
      <w:r w:rsidR="007A5B90">
        <w:t>–</w:t>
      </w:r>
      <w:r w:rsidR="00F05167">
        <w:t xml:space="preserve"> </w:t>
      </w:r>
      <w:r w:rsidR="007A5B90">
        <w:t xml:space="preserve">net </w:t>
      </w:r>
      <w:r w:rsidR="0031103C">
        <w:t>financial</w:t>
      </w:r>
      <w:r w:rsidR="007A5B90">
        <w:t xml:space="preserve"> expense </w:t>
      </w:r>
      <w:r w:rsidR="002278F8">
        <w:t xml:space="preserve">after tax </w:t>
      </w:r>
      <w:r w:rsidR="007A5B90">
        <w:t>+ change in</w:t>
      </w:r>
      <w:r w:rsidR="00F05167">
        <w:t xml:space="preserve"> </w:t>
      </w:r>
      <w:r w:rsidR="007A5B90">
        <w:t>net financial liabilities</w:t>
      </w:r>
    </w:p>
    <w:p w:rsidR="00711925" w:rsidRDefault="00711925" w:rsidP="00376CB2">
      <w:pPr>
        <w:pStyle w:val="BodyText"/>
        <w:numPr>
          <w:ilvl w:val="1"/>
          <w:numId w:val="12"/>
        </w:numPr>
      </w:pPr>
      <w:r>
        <w:t xml:space="preserve">Ending equity = Beginning equity + net income – </w:t>
      </w:r>
      <w:r w:rsidR="00672D70">
        <w:t xml:space="preserve">net </w:t>
      </w:r>
      <w:r>
        <w:t xml:space="preserve">distributions </w:t>
      </w:r>
    </w:p>
    <w:p w:rsidR="003B575B" w:rsidRDefault="00711925" w:rsidP="00376CB2">
      <w:pPr>
        <w:pStyle w:val="BodyText"/>
        <w:numPr>
          <w:ilvl w:val="2"/>
          <w:numId w:val="12"/>
        </w:numPr>
      </w:pPr>
      <w:r>
        <w:t xml:space="preserve">Check: </w:t>
      </w:r>
      <w:r w:rsidR="003B575B">
        <w:t xml:space="preserve">Equity = Net enterprise assets – Net financial liabilities </w:t>
      </w:r>
    </w:p>
    <w:p w:rsidR="000A6C75" w:rsidRDefault="00376CB2" w:rsidP="00376CB2">
      <w:pPr>
        <w:pStyle w:val="BodyText"/>
        <w:numPr>
          <w:ilvl w:val="0"/>
          <w:numId w:val="12"/>
        </w:numPr>
      </w:pPr>
      <w:r>
        <w:t xml:space="preserve">Derive relative valuation metrics: </w:t>
      </w:r>
      <w:r w:rsidR="006E19E2">
        <w:t xml:space="preserve">It computes three key relative valuation metrics: price to book ratio, price to forward earnings ratio, and price to forward dividends ratio. </w:t>
      </w:r>
    </w:p>
    <w:p w:rsidR="006E19E2" w:rsidRDefault="00376CB2" w:rsidP="00856609">
      <w:pPr>
        <w:pStyle w:val="BodyText"/>
        <w:numPr>
          <w:ilvl w:val="0"/>
          <w:numId w:val="12"/>
        </w:numPr>
      </w:pPr>
      <w:r>
        <w:t xml:space="preserve">Infer cost of equity: </w:t>
      </w:r>
      <w:r w:rsidR="001F172F">
        <w:t xml:space="preserve">If one uses a subjective </w:t>
      </w:r>
      <w:r w:rsidR="00DA6120">
        <w:t>wacc</w:t>
      </w:r>
      <w:r w:rsidR="001F172F">
        <w:t xml:space="preserve"> or industry </w:t>
      </w:r>
      <w:r w:rsidR="00DA6120">
        <w:t>wacc</w:t>
      </w:r>
      <w:r w:rsidR="001F172F">
        <w:t xml:space="preserve">, then it is useful to know the cost of equity implied by the assumed </w:t>
      </w:r>
      <w:r w:rsidR="00DA6120">
        <w:t>wacc</w:t>
      </w:r>
      <w:r w:rsidR="001F172F">
        <w:t xml:space="preserve"> and estimated value. Accordingly, t</w:t>
      </w:r>
      <w:r>
        <w:t xml:space="preserve">he spreadsheet </w:t>
      </w:r>
      <w:r w:rsidR="006E19E2">
        <w:t>infer</w:t>
      </w:r>
      <w:r w:rsidR="001772C3">
        <w:t>s</w:t>
      </w:r>
      <w:r w:rsidR="006E19E2">
        <w:t xml:space="preserve"> the cost of equity </w:t>
      </w:r>
      <w:r w:rsidR="001772C3">
        <w:t xml:space="preserve">from </w:t>
      </w:r>
      <w:r w:rsidR="00DA6120">
        <w:t>wacc</w:t>
      </w:r>
      <w:r w:rsidR="001772C3">
        <w:t xml:space="preserve"> and </w:t>
      </w:r>
      <w:r w:rsidR="001F172F">
        <w:t>leverage</w:t>
      </w:r>
      <w:r w:rsidR="001772C3">
        <w:t xml:space="preserve"> </w:t>
      </w:r>
      <w:r w:rsidR="007A36C4">
        <w:t xml:space="preserve">so that it can be compared with </w:t>
      </w:r>
      <w:r w:rsidR="00F74181">
        <w:t xml:space="preserve">alternative measures of </w:t>
      </w:r>
      <w:r w:rsidR="007A36C4">
        <w:t>cost of equity.</w:t>
      </w:r>
    </w:p>
    <w:p w:rsidR="00FE71C5" w:rsidRDefault="00BF5C2E" w:rsidP="00FE71C5">
      <w:pPr>
        <w:pStyle w:val="Heading2"/>
      </w:pPr>
      <w:r>
        <w:t xml:space="preserve">Enterprise cost of capital </w:t>
      </w:r>
      <w:r w:rsidR="003F335C">
        <w:t xml:space="preserve">or weighted-average cost of capital </w:t>
      </w:r>
      <w:r>
        <w:t>(</w:t>
      </w:r>
      <w:r w:rsidR="00DA6120">
        <w:t>wacc</w:t>
      </w:r>
      <w:r>
        <w:t>)</w:t>
      </w:r>
    </w:p>
    <w:p w:rsidR="00791101" w:rsidRDefault="00FD6314" w:rsidP="009C7359">
      <w:pPr>
        <w:pStyle w:val="BodyText"/>
      </w:pPr>
      <w:r w:rsidRPr="00FD6314">
        <w:t xml:space="preserve">The spreadsheet </w:t>
      </w:r>
      <w:r w:rsidR="00093CF5">
        <w:t xml:space="preserve">needs wacc as an input to </w:t>
      </w:r>
      <w:r w:rsidR="0076230F">
        <w:t>discou</w:t>
      </w:r>
      <w:r w:rsidR="00093CF5">
        <w:t>nt</w:t>
      </w:r>
      <w:r w:rsidR="006D6C5C">
        <w:t xml:space="preserve"> enterprise cash flows</w:t>
      </w:r>
      <w:r w:rsidR="00093CF5">
        <w:t>.</w:t>
      </w:r>
      <w:r w:rsidR="00744AB2">
        <w:t xml:space="preserve"> The spreadsheet does not specify how wacc should be derived.</w:t>
      </w:r>
      <w:r w:rsidR="001B7DAB">
        <w:t xml:space="preserve"> One can use industry wacc </w:t>
      </w:r>
      <w:r w:rsidR="00F13445">
        <w:t>or a subjective measure of wacc</w:t>
      </w:r>
      <w:r w:rsidR="00791101">
        <w:t>.</w:t>
      </w:r>
    </w:p>
    <w:p w:rsidR="00D47AB7" w:rsidRDefault="005326B2" w:rsidP="009C7359">
      <w:pPr>
        <w:pStyle w:val="BodyText"/>
      </w:pPr>
      <w:r>
        <w:t>Textbooks derive</w:t>
      </w:r>
      <w:r w:rsidR="00FD6314" w:rsidRPr="00FD6314">
        <w:t xml:space="preserve"> </w:t>
      </w:r>
      <w:r w:rsidR="00DA6120">
        <w:t>wacc</w:t>
      </w:r>
      <w:r w:rsidR="00D47AB7">
        <w:t xml:space="preserve"> using a company’s equity beta, leverage, and risk-free rate </w:t>
      </w:r>
      <w:r w:rsidR="00F310A0">
        <w:t>as follows</w:t>
      </w:r>
      <w:r w:rsidR="00D47AB7">
        <w:t>:</w:t>
      </w:r>
    </w:p>
    <w:tbl>
      <w:tblPr>
        <w:tblW w:w="0" w:type="auto"/>
        <w:tblCellMar>
          <w:left w:w="115" w:type="dxa"/>
          <w:right w:w="115" w:type="dxa"/>
        </w:tblCellMar>
        <w:tblLook w:val="01E0" w:firstRow="1" w:lastRow="1" w:firstColumn="1" w:lastColumn="1" w:noHBand="0" w:noVBand="0"/>
      </w:tblPr>
      <w:tblGrid>
        <w:gridCol w:w="861"/>
        <w:gridCol w:w="3743"/>
        <w:gridCol w:w="355"/>
        <w:gridCol w:w="2294"/>
      </w:tblGrid>
      <w:tr w:rsidR="00D47AB7" w:rsidTr="00CD2E8C">
        <w:tc>
          <w:tcPr>
            <w:tcW w:w="0" w:type="auto"/>
            <w:vMerge w:val="restart"/>
            <w:shd w:val="clear" w:color="auto" w:fill="auto"/>
            <w:vAlign w:val="center"/>
          </w:tcPr>
          <w:p w:rsidR="00D47AB7" w:rsidRDefault="00DA6120" w:rsidP="00993ED8">
            <w:r>
              <w:t>wacc</w:t>
            </w:r>
            <w:r w:rsidR="00D47AB7">
              <w:t xml:space="preserve"> = </w:t>
            </w:r>
          </w:p>
        </w:tc>
        <w:tc>
          <w:tcPr>
            <w:tcW w:w="0" w:type="auto"/>
            <w:tcBorders>
              <w:bottom w:val="single" w:sz="2" w:space="0" w:color="auto"/>
            </w:tcBorders>
            <w:shd w:val="clear" w:color="auto" w:fill="auto"/>
          </w:tcPr>
          <w:p w:rsidR="00D47AB7" w:rsidRDefault="00D47AB7" w:rsidP="00993ED8">
            <w:r>
              <w:t>MV of NFL * Net interest rate, after tax</w:t>
            </w:r>
          </w:p>
        </w:tc>
        <w:tc>
          <w:tcPr>
            <w:tcW w:w="0" w:type="auto"/>
            <w:shd w:val="clear" w:color="auto" w:fill="auto"/>
          </w:tcPr>
          <w:p w:rsidR="00D47AB7" w:rsidRDefault="00D47AB7" w:rsidP="00993ED8">
            <w:r>
              <w:t>+</w:t>
            </w:r>
          </w:p>
        </w:tc>
        <w:tc>
          <w:tcPr>
            <w:tcW w:w="0" w:type="auto"/>
            <w:tcBorders>
              <w:bottom w:val="single" w:sz="2" w:space="0" w:color="auto"/>
            </w:tcBorders>
            <w:shd w:val="clear" w:color="auto" w:fill="auto"/>
          </w:tcPr>
          <w:p w:rsidR="00D47AB7" w:rsidRDefault="00D47AB7" w:rsidP="009E2BE8">
            <w:pPr>
              <w:jc w:val="center"/>
            </w:pPr>
            <w:r>
              <w:t>MV of E * r</w:t>
            </w:r>
            <w:r w:rsidRPr="009E2BE8">
              <w:rPr>
                <w:vertAlign w:val="subscript"/>
              </w:rPr>
              <w:t>e</w:t>
            </w:r>
          </w:p>
        </w:tc>
      </w:tr>
      <w:tr w:rsidR="00D47AB7" w:rsidTr="009E2BE8">
        <w:tc>
          <w:tcPr>
            <w:tcW w:w="0" w:type="auto"/>
            <w:vMerge/>
            <w:shd w:val="clear" w:color="auto" w:fill="auto"/>
          </w:tcPr>
          <w:p w:rsidR="00D47AB7" w:rsidRDefault="00D47AB7" w:rsidP="00993ED8"/>
        </w:tc>
        <w:tc>
          <w:tcPr>
            <w:tcW w:w="0" w:type="auto"/>
            <w:tcBorders>
              <w:top w:val="single" w:sz="2" w:space="0" w:color="auto"/>
            </w:tcBorders>
            <w:shd w:val="clear" w:color="auto" w:fill="auto"/>
          </w:tcPr>
          <w:p w:rsidR="00D47AB7" w:rsidRDefault="00D47AB7" w:rsidP="009E2BE8">
            <w:pPr>
              <w:jc w:val="center"/>
            </w:pPr>
            <w:r>
              <w:t>MV of NFL + MV of E</w:t>
            </w:r>
          </w:p>
        </w:tc>
        <w:tc>
          <w:tcPr>
            <w:tcW w:w="0" w:type="auto"/>
            <w:shd w:val="clear" w:color="auto" w:fill="auto"/>
          </w:tcPr>
          <w:p w:rsidR="00D47AB7" w:rsidRDefault="00D47AB7" w:rsidP="00993ED8"/>
        </w:tc>
        <w:tc>
          <w:tcPr>
            <w:tcW w:w="0" w:type="auto"/>
            <w:tcBorders>
              <w:top w:val="single" w:sz="2" w:space="0" w:color="auto"/>
            </w:tcBorders>
            <w:shd w:val="clear" w:color="auto" w:fill="auto"/>
          </w:tcPr>
          <w:p w:rsidR="00D47AB7" w:rsidRDefault="00D47AB7" w:rsidP="00993ED8">
            <w:r>
              <w:t>MV of NFL + MV of E</w:t>
            </w:r>
          </w:p>
        </w:tc>
      </w:tr>
    </w:tbl>
    <w:p w:rsidR="00D340A1" w:rsidRDefault="00D340A1" w:rsidP="00D340A1"/>
    <w:p w:rsidR="00D47AB7" w:rsidRDefault="00D47AB7" w:rsidP="009C7359">
      <w:pPr>
        <w:pStyle w:val="BodyText"/>
      </w:pPr>
      <w:r>
        <w:t xml:space="preserve">This expression is the genesis of the term </w:t>
      </w:r>
      <w:r w:rsidR="00DA6120">
        <w:t>wacc</w:t>
      </w:r>
      <w:r>
        <w:t xml:space="preserve"> because it is the weighted average of r</w:t>
      </w:r>
      <w:r w:rsidRPr="00487B3E">
        <w:rPr>
          <w:vertAlign w:val="subscript"/>
        </w:rPr>
        <w:t>e</w:t>
      </w:r>
      <w:r>
        <w:t xml:space="preserve"> and cost of NFL. This expression provides a way of inferring </w:t>
      </w:r>
      <w:r w:rsidR="00DA6120">
        <w:t>wacc</w:t>
      </w:r>
      <w:r>
        <w:t xml:space="preserve"> from r</w:t>
      </w:r>
      <w:r w:rsidRPr="00487B3E">
        <w:rPr>
          <w:vertAlign w:val="subscript"/>
        </w:rPr>
        <w:t>e</w:t>
      </w:r>
      <w:r>
        <w:t xml:space="preserve"> and cost of NFL. </w:t>
      </w:r>
    </w:p>
    <w:p w:rsidR="000512B0" w:rsidRDefault="000512B0" w:rsidP="000512B0">
      <w:pPr>
        <w:pStyle w:val="BodyText"/>
      </w:pPr>
      <w:r>
        <w:t xml:space="preserve">The weighted average formula applies to negative leverage as well. The net interest rate after tax should be the interest rate on net financial assets after tax. When this rate is close to zero, the first term in the wacc formula drops out and the wacc formula reduces to the following: </w:t>
      </w:r>
    </w:p>
    <w:tbl>
      <w:tblPr>
        <w:tblW w:w="0" w:type="auto"/>
        <w:tblCellMar>
          <w:left w:w="115" w:type="dxa"/>
          <w:right w:w="115" w:type="dxa"/>
        </w:tblCellMar>
        <w:tblLook w:val="01E0" w:firstRow="1" w:lastRow="1" w:firstColumn="1" w:lastColumn="1" w:noHBand="0" w:noVBand="0"/>
      </w:tblPr>
      <w:tblGrid>
        <w:gridCol w:w="861"/>
        <w:gridCol w:w="2031"/>
        <w:gridCol w:w="501"/>
      </w:tblGrid>
      <w:tr w:rsidR="000512B0" w:rsidTr="00C95D3D">
        <w:tc>
          <w:tcPr>
            <w:tcW w:w="0" w:type="auto"/>
            <w:vMerge w:val="restart"/>
            <w:shd w:val="clear" w:color="auto" w:fill="auto"/>
            <w:vAlign w:val="center"/>
          </w:tcPr>
          <w:p w:rsidR="000512B0" w:rsidRDefault="000512B0" w:rsidP="00783B76">
            <w:pPr>
              <w:keepNext/>
            </w:pPr>
            <w:r>
              <w:t xml:space="preserve">wacc = </w:t>
            </w:r>
          </w:p>
        </w:tc>
        <w:tc>
          <w:tcPr>
            <w:tcW w:w="0" w:type="auto"/>
            <w:tcBorders>
              <w:bottom w:val="single" w:sz="2" w:space="0" w:color="auto"/>
            </w:tcBorders>
            <w:shd w:val="clear" w:color="auto" w:fill="auto"/>
          </w:tcPr>
          <w:p w:rsidR="000512B0" w:rsidRDefault="000512B0" w:rsidP="00783B76">
            <w:pPr>
              <w:keepNext/>
              <w:jc w:val="center"/>
            </w:pPr>
            <w:r w:rsidRPr="00750224">
              <w:t>MV of equity</w:t>
            </w:r>
            <w:r>
              <w:t xml:space="preserve"> </w:t>
            </w:r>
          </w:p>
        </w:tc>
        <w:tc>
          <w:tcPr>
            <w:tcW w:w="0" w:type="auto"/>
            <w:vMerge w:val="restart"/>
            <w:vAlign w:val="center"/>
          </w:tcPr>
          <w:p w:rsidR="000512B0" w:rsidRPr="00750224" w:rsidRDefault="000512B0" w:rsidP="00783B76">
            <w:pPr>
              <w:keepNext/>
              <w:jc w:val="center"/>
            </w:pPr>
            <w:r w:rsidRPr="00BF0A2E">
              <w:rPr>
                <w:rFonts w:ascii="Arial" w:hAnsi="Arial"/>
                <w:sz w:val="16"/>
              </w:rPr>
              <w:t>x</w:t>
            </w:r>
            <w:r>
              <w:t xml:space="preserve"> r</w:t>
            </w:r>
            <w:r w:rsidRPr="00CD2E8C">
              <w:rPr>
                <w:vertAlign w:val="subscript"/>
              </w:rPr>
              <w:t>e</w:t>
            </w:r>
          </w:p>
        </w:tc>
      </w:tr>
      <w:tr w:rsidR="000512B0" w:rsidTr="00C95D3D">
        <w:tc>
          <w:tcPr>
            <w:tcW w:w="0" w:type="auto"/>
            <w:vMerge/>
            <w:shd w:val="clear" w:color="auto" w:fill="auto"/>
          </w:tcPr>
          <w:p w:rsidR="000512B0" w:rsidRDefault="000512B0" w:rsidP="00C95D3D"/>
        </w:tc>
        <w:tc>
          <w:tcPr>
            <w:tcW w:w="0" w:type="auto"/>
            <w:tcBorders>
              <w:top w:val="single" w:sz="2" w:space="0" w:color="auto"/>
            </w:tcBorders>
            <w:shd w:val="clear" w:color="auto" w:fill="auto"/>
          </w:tcPr>
          <w:p w:rsidR="000512B0" w:rsidRDefault="000512B0" w:rsidP="00C95D3D">
            <w:pPr>
              <w:jc w:val="center"/>
            </w:pPr>
            <w:r w:rsidRPr="00750224">
              <w:t>MV of equity</w:t>
            </w:r>
            <w:r>
              <w:t xml:space="preserve"> - NFA</w:t>
            </w:r>
          </w:p>
        </w:tc>
        <w:tc>
          <w:tcPr>
            <w:tcW w:w="0" w:type="auto"/>
            <w:vMerge/>
          </w:tcPr>
          <w:p w:rsidR="000512B0" w:rsidRPr="00750224" w:rsidRDefault="000512B0" w:rsidP="00C95D3D">
            <w:pPr>
              <w:jc w:val="center"/>
            </w:pPr>
          </w:p>
        </w:tc>
      </w:tr>
    </w:tbl>
    <w:p w:rsidR="000512B0" w:rsidRDefault="000512B0" w:rsidP="000512B0">
      <w:pPr>
        <w:pStyle w:val="6pointSpacer"/>
      </w:pPr>
    </w:p>
    <w:p w:rsidR="00D47AB7" w:rsidRDefault="00D47AB7" w:rsidP="00D47AB7">
      <w:pPr>
        <w:pStyle w:val="BodyText"/>
      </w:pPr>
      <w:r>
        <w:t xml:space="preserve">As a practical matter, one can estimate </w:t>
      </w:r>
      <w:r w:rsidR="00DA6120">
        <w:t>wacc</w:t>
      </w:r>
      <w:r>
        <w:t xml:space="preserve"> as follows:</w:t>
      </w:r>
    </w:p>
    <w:p w:rsidR="00D47AB7" w:rsidRDefault="00D47AB7" w:rsidP="00D47AB7">
      <w:pPr>
        <w:pStyle w:val="BodyText"/>
        <w:numPr>
          <w:ilvl w:val="0"/>
          <w:numId w:val="19"/>
        </w:numPr>
      </w:pPr>
      <w:r>
        <w:t>Go to the latest balance sheet and derive NFL; NFL is negative if FA &gt; FL.</w:t>
      </w:r>
      <w:r w:rsidR="00610833">
        <w:t xml:space="preserve"> Assume that the market value of NFL equals its book value. </w:t>
      </w:r>
      <w:r w:rsidR="00FA58A0">
        <w:t>You can also get the market value of NFL from some finance websites such as Bloomberg.</w:t>
      </w:r>
    </w:p>
    <w:p w:rsidR="00D47AB7" w:rsidRDefault="00D47AB7" w:rsidP="00D47AB7">
      <w:pPr>
        <w:pStyle w:val="BodyText"/>
        <w:numPr>
          <w:ilvl w:val="0"/>
          <w:numId w:val="19"/>
        </w:numPr>
      </w:pPr>
      <w:r>
        <w:t xml:space="preserve">Estimate the interest rate, after tax. </w:t>
      </w:r>
    </w:p>
    <w:p w:rsidR="00D47AB7" w:rsidRDefault="00D47AB7" w:rsidP="00D47AB7">
      <w:pPr>
        <w:pStyle w:val="BodyText"/>
        <w:numPr>
          <w:ilvl w:val="0"/>
          <w:numId w:val="19"/>
        </w:numPr>
      </w:pPr>
      <w:r>
        <w:t xml:space="preserve">Go to </w:t>
      </w:r>
      <w:r w:rsidR="00C7768E">
        <w:t>any finance website</w:t>
      </w:r>
      <w:r>
        <w:t xml:space="preserve"> </w:t>
      </w:r>
      <w:r w:rsidR="006F0E03">
        <w:t>(</w:t>
      </w:r>
      <w:r w:rsidR="00621F90">
        <w:t xml:space="preserve">CapitalIQ, </w:t>
      </w:r>
      <w:r w:rsidR="006F0E03">
        <w:t xml:space="preserve">Yahoo, Bloomberg) </w:t>
      </w:r>
      <w:r>
        <w:t>and look up MktCap = ‘E’</w:t>
      </w:r>
    </w:p>
    <w:p w:rsidR="00D47AB7" w:rsidRDefault="00D47AB7" w:rsidP="00D47AB7">
      <w:pPr>
        <w:pStyle w:val="BodyText"/>
        <w:numPr>
          <w:ilvl w:val="0"/>
          <w:numId w:val="19"/>
        </w:numPr>
      </w:pPr>
      <w:r>
        <w:t>Estimate cost of equity using the CAPM equation r</w:t>
      </w:r>
      <w:r w:rsidRPr="006B47D7">
        <w:rPr>
          <w:vertAlign w:val="subscript"/>
        </w:rPr>
        <w:t>e</w:t>
      </w:r>
      <w:r>
        <w:t xml:space="preserve"> = r</w:t>
      </w:r>
      <w:r w:rsidRPr="006B47D7">
        <w:rPr>
          <w:vertAlign w:val="subscript"/>
        </w:rPr>
        <w:t>f</w:t>
      </w:r>
      <w:r>
        <w:t xml:space="preserve"> + </w:t>
      </w:r>
      <w:r w:rsidRPr="006B47D7">
        <w:rPr>
          <w:rFonts w:ascii="Symbol" w:hAnsi="Symbol"/>
        </w:rPr>
        <w:t></w:t>
      </w:r>
      <w:r>
        <w:t xml:space="preserve"> (r</w:t>
      </w:r>
      <w:r w:rsidRPr="006B47D7">
        <w:rPr>
          <w:vertAlign w:val="subscript"/>
        </w:rPr>
        <w:t>m</w:t>
      </w:r>
      <w:r>
        <w:t xml:space="preserve"> – r</w:t>
      </w:r>
      <w:r w:rsidRPr="006B47D7">
        <w:rPr>
          <w:vertAlign w:val="subscript"/>
        </w:rPr>
        <w:t>f</w:t>
      </w:r>
      <w:r>
        <w:t>)</w:t>
      </w:r>
    </w:p>
    <w:p w:rsidR="0090441B" w:rsidRDefault="0090441B" w:rsidP="00D47AB7">
      <w:pPr>
        <w:pStyle w:val="BodyText"/>
        <w:numPr>
          <w:ilvl w:val="1"/>
          <w:numId w:val="19"/>
        </w:numPr>
      </w:pPr>
      <w:r>
        <w:t>Risk-free rate is typically assumed to be the 10-year Treasury rate.</w:t>
      </w:r>
    </w:p>
    <w:p w:rsidR="00D47AB7" w:rsidRPr="00E0020A" w:rsidRDefault="00D47AB7" w:rsidP="00D47AB7">
      <w:pPr>
        <w:pStyle w:val="BodyText"/>
        <w:numPr>
          <w:ilvl w:val="1"/>
          <w:numId w:val="19"/>
        </w:numPr>
      </w:pPr>
      <w:r>
        <w:t xml:space="preserve">Go to </w:t>
      </w:r>
      <w:r w:rsidR="0090441B">
        <w:t xml:space="preserve">the finance websites </w:t>
      </w:r>
      <w:r>
        <w:t xml:space="preserve">and look up the firm’s </w:t>
      </w:r>
      <w:r w:rsidRPr="00E0020A">
        <w:rPr>
          <w:rFonts w:ascii="Symbol" w:hAnsi="Symbol"/>
        </w:rPr>
        <w:t></w:t>
      </w:r>
      <w:r>
        <w:t>.</w:t>
      </w:r>
    </w:p>
    <w:p w:rsidR="00610833" w:rsidRDefault="00C521CC" w:rsidP="00610833">
      <w:pPr>
        <w:pStyle w:val="BodyText"/>
        <w:numPr>
          <w:ilvl w:val="1"/>
          <w:numId w:val="19"/>
        </w:numPr>
      </w:pPr>
      <w:r>
        <w:t xml:space="preserve">Analysts typically assume that the </w:t>
      </w:r>
      <w:r w:rsidR="00D47AB7">
        <w:t>market risk premium (r</w:t>
      </w:r>
      <w:r w:rsidR="00D47AB7" w:rsidRPr="006B47D7">
        <w:rPr>
          <w:vertAlign w:val="subscript"/>
        </w:rPr>
        <w:t>m</w:t>
      </w:r>
      <w:r w:rsidR="00D47AB7">
        <w:t xml:space="preserve"> – r</w:t>
      </w:r>
      <w:r w:rsidR="00D47AB7" w:rsidRPr="006B47D7">
        <w:rPr>
          <w:vertAlign w:val="subscript"/>
        </w:rPr>
        <w:t>f</w:t>
      </w:r>
      <w:r w:rsidR="00D47AB7">
        <w:t xml:space="preserve">) </w:t>
      </w:r>
      <w:r w:rsidR="00484233">
        <w:t>is in the range between 4%-7%.</w:t>
      </w:r>
      <w:r w:rsidR="008770D6">
        <w:t xml:space="preserve"> Estimates of market risk premia are a</w:t>
      </w:r>
      <w:r w:rsidR="0004405B">
        <w:t>vailable from surveys of market participants.</w:t>
      </w:r>
    </w:p>
    <w:p w:rsidR="00D47AB7" w:rsidRDefault="00D47AB7" w:rsidP="00D47AB7">
      <w:pPr>
        <w:pStyle w:val="BodyText"/>
        <w:numPr>
          <w:ilvl w:val="0"/>
          <w:numId w:val="19"/>
        </w:numPr>
      </w:pPr>
      <w:r>
        <w:t xml:space="preserve">Use the </w:t>
      </w:r>
      <w:r w:rsidR="00DA6120">
        <w:t>wacc</w:t>
      </w:r>
      <w:r>
        <w:t xml:space="preserve"> formula</w:t>
      </w:r>
    </w:p>
    <w:p w:rsidR="00FE71C5" w:rsidRDefault="003642EE" w:rsidP="009C7359">
      <w:pPr>
        <w:pStyle w:val="BodyText"/>
      </w:pPr>
      <w:r>
        <w:t>One should not view</w:t>
      </w:r>
      <w:r w:rsidR="00D47AB7">
        <w:t xml:space="preserve"> </w:t>
      </w:r>
      <w:r w:rsidR="00DA6120">
        <w:t>wacc</w:t>
      </w:r>
      <w:r w:rsidR="00D47AB7">
        <w:t xml:space="preserve"> as the dependent variable and r</w:t>
      </w:r>
      <w:r w:rsidR="00D47AB7" w:rsidRPr="00E0020A">
        <w:rPr>
          <w:vertAlign w:val="subscript"/>
        </w:rPr>
        <w:t>e</w:t>
      </w:r>
      <w:r w:rsidR="00D47AB7">
        <w:t xml:space="preserve"> and cost of NFL as the independent variables.</w:t>
      </w:r>
      <w:r w:rsidR="00D340A1">
        <w:t xml:space="preserve"> </w:t>
      </w:r>
      <w:r w:rsidR="00233D74" w:rsidRPr="00233D74">
        <w:t xml:space="preserve">To appreciate </w:t>
      </w:r>
      <w:r w:rsidR="00233D74">
        <w:t>how r</w:t>
      </w:r>
      <w:r w:rsidR="00233D74" w:rsidRPr="00233D74">
        <w:rPr>
          <w:vertAlign w:val="subscript"/>
        </w:rPr>
        <w:t>e</w:t>
      </w:r>
      <w:r w:rsidR="00233D74">
        <w:t xml:space="preserve"> depends on </w:t>
      </w:r>
      <w:r w:rsidR="00DA6120">
        <w:t>wacc</w:t>
      </w:r>
      <w:r w:rsidR="00233D74" w:rsidRPr="00233D74">
        <w:t xml:space="preserve">, it helps if one recasts the above </w:t>
      </w:r>
      <w:r w:rsidR="00DA6120">
        <w:t>wacc</w:t>
      </w:r>
      <w:r w:rsidR="00233D74" w:rsidRPr="00233D74">
        <w:t xml:space="preserve"> equation as </w:t>
      </w:r>
      <w:r w:rsidR="00D340A1">
        <w:t>follows:</w:t>
      </w:r>
    </w:p>
    <w:p w:rsidR="009C7359" w:rsidRDefault="009C7359" w:rsidP="006B47D7">
      <w:pPr>
        <w:pStyle w:val="BodyText"/>
      </w:pPr>
      <w:r>
        <w:t>r</w:t>
      </w:r>
      <w:r w:rsidRPr="009C7359">
        <w:rPr>
          <w:vertAlign w:val="subscript"/>
        </w:rPr>
        <w:t>e</w:t>
      </w:r>
      <w:r w:rsidR="00750224">
        <w:t xml:space="preserve"> </w:t>
      </w:r>
      <w:r w:rsidR="00750224" w:rsidRPr="00750224">
        <w:t>=</w:t>
      </w:r>
      <w:r w:rsidR="002F210A">
        <w:t xml:space="preserve"> </w:t>
      </w:r>
      <w:r w:rsidR="00DA6120">
        <w:t>wacc</w:t>
      </w:r>
      <w:r w:rsidR="002F210A">
        <w:t xml:space="preserve"> </w:t>
      </w:r>
      <w:r w:rsidR="00750224" w:rsidRPr="00750224">
        <w:t>+</w:t>
      </w:r>
      <w:r w:rsidR="002F210A">
        <w:t xml:space="preserve"> </w:t>
      </w:r>
      <w:r w:rsidR="00750224" w:rsidRPr="00750224">
        <w:t>(</w:t>
      </w:r>
      <w:r w:rsidR="00DA6120">
        <w:t>wacc</w:t>
      </w:r>
      <w:r w:rsidR="00750224" w:rsidRPr="00750224">
        <w:t xml:space="preserve"> – Net </w:t>
      </w:r>
      <w:r w:rsidR="00750224">
        <w:t>interest</w:t>
      </w:r>
      <w:r w:rsidR="00750224" w:rsidRPr="00750224">
        <w:t xml:space="preserve"> rate, after tax) * (MV of net financial liabilities/MV of equity)</w:t>
      </w:r>
    </w:p>
    <w:p w:rsidR="009C7359" w:rsidRDefault="00DA6120" w:rsidP="00814802">
      <w:pPr>
        <w:pStyle w:val="BodyText"/>
      </w:pPr>
      <w:r>
        <w:t>wacc</w:t>
      </w:r>
      <w:r w:rsidR="00D340A1">
        <w:t xml:space="preserve"> depends on the risk-free rate and enterprise risk while r</w:t>
      </w:r>
      <w:r w:rsidR="00D340A1" w:rsidRPr="002F6E0B">
        <w:rPr>
          <w:vertAlign w:val="subscript"/>
        </w:rPr>
        <w:t>e</w:t>
      </w:r>
      <w:r w:rsidR="00D340A1">
        <w:t xml:space="preserve"> depends on </w:t>
      </w:r>
      <w:r>
        <w:t>wacc</w:t>
      </w:r>
      <w:r w:rsidR="00D340A1">
        <w:t xml:space="preserve"> and risk due to leverage. </w:t>
      </w:r>
      <w:r w:rsidR="009C7359">
        <w:t xml:space="preserve">Under Modigliani-Miller assumptions, </w:t>
      </w:r>
      <w:r>
        <w:t>wacc</w:t>
      </w:r>
      <w:r w:rsidR="009C7359">
        <w:t xml:space="preserve"> does not depend on leverage. Increasing leverage </w:t>
      </w:r>
      <w:r w:rsidR="006E39BE">
        <w:t xml:space="preserve">has two effects: (i) it </w:t>
      </w:r>
      <w:r w:rsidR="009C7359">
        <w:t xml:space="preserve">may increase </w:t>
      </w:r>
      <w:r w:rsidR="00814802">
        <w:t>net interest rate if there is an increase in default risk</w:t>
      </w:r>
      <w:r w:rsidR="009C7359">
        <w:t xml:space="preserve">. </w:t>
      </w:r>
      <w:r w:rsidR="006E39BE">
        <w:t>(ii) it</w:t>
      </w:r>
      <w:r w:rsidR="009C7359">
        <w:t xml:space="preserve"> always increases the </w:t>
      </w:r>
      <w:r w:rsidR="001566BD">
        <w:t>r</w:t>
      </w:r>
      <w:r w:rsidR="001566BD" w:rsidRPr="002F6E0B">
        <w:rPr>
          <w:vertAlign w:val="subscript"/>
        </w:rPr>
        <w:t>e</w:t>
      </w:r>
      <w:r w:rsidR="009C7359">
        <w:t xml:space="preserve"> </w:t>
      </w:r>
      <w:r w:rsidR="00814802">
        <w:t>because of increase in volatility of returns to equity holders even if there is no change in default risk</w:t>
      </w:r>
      <w:r w:rsidR="006E39BE">
        <w:t>.</w:t>
      </w:r>
    </w:p>
    <w:p w:rsidR="004B693B" w:rsidRDefault="004B693B" w:rsidP="004B693B">
      <w:pPr>
        <w:pStyle w:val="BodyText"/>
      </w:pPr>
      <w:r>
        <w:t>Alternatively, one can estimate wacc by first calculating “unlevered beta” and then using it in CAPM.</w:t>
      </w:r>
    </w:p>
    <w:p w:rsidR="004B693B" w:rsidRDefault="004B693B" w:rsidP="004B693B">
      <w:pPr>
        <w:pStyle w:val="BodyText"/>
      </w:pPr>
      <w:r>
        <w:t xml:space="preserve">Specifically, </w:t>
      </w:r>
    </w:p>
    <w:p w:rsidR="004B693B" w:rsidRDefault="004B693B" w:rsidP="004B693B">
      <w:pPr>
        <w:pStyle w:val="BodyText"/>
        <w:numPr>
          <w:ilvl w:val="0"/>
          <w:numId w:val="36"/>
        </w:numPr>
      </w:pPr>
      <w:r>
        <w:t xml:space="preserve">Calculate “unlevered </w:t>
      </w:r>
      <w:r w:rsidRPr="004B693B">
        <w:rPr>
          <w:rFonts w:ascii="Symbol" w:hAnsi="Symbol"/>
        </w:rPr>
        <w:t></w:t>
      </w:r>
      <w:r>
        <w:t xml:space="preserve">” = </w:t>
      </w:r>
      <w:r w:rsidRPr="004B693B">
        <w:rPr>
          <w:rFonts w:ascii="Symbol" w:hAnsi="Symbol"/>
        </w:rPr>
        <w:t></w:t>
      </w:r>
      <w:r>
        <w:t xml:space="preserve"> * (E/(NFL+E)) where NFL and E are as above.</w:t>
      </w:r>
    </w:p>
    <w:p w:rsidR="004B693B" w:rsidRDefault="004B693B" w:rsidP="004B693B">
      <w:pPr>
        <w:pStyle w:val="BodyText"/>
        <w:numPr>
          <w:ilvl w:val="0"/>
          <w:numId w:val="36"/>
        </w:numPr>
      </w:pPr>
      <w:r>
        <w:t>Calculate wacc = r</w:t>
      </w:r>
      <w:r w:rsidRPr="004B693B">
        <w:rPr>
          <w:vertAlign w:val="subscript"/>
        </w:rPr>
        <w:t>nd</w:t>
      </w:r>
      <w:r>
        <w:t xml:space="preserve"> + “unlevered </w:t>
      </w:r>
      <w:r w:rsidRPr="004B693B">
        <w:rPr>
          <w:rFonts w:ascii="Symbol" w:hAnsi="Symbol"/>
        </w:rPr>
        <w:t></w:t>
      </w:r>
      <w:r>
        <w:t>”* (r</w:t>
      </w:r>
      <w:r w:rsidRPr="004B693B">
        <w:rPr>
          <w:vertAlign w:val="subscript"/>
        </w:rPr>
        <w:t>m</w:t>
      </w:r>
      <w:r>
        <w:t xml:space="preserve"> – r</w:t>
      </w:r>
      <w:r w:rsidRPr="004B693B">
        <w:rPr>
          <w:vertAlign w:val="subscript"/>
        </w:rPr>
        <w:t>nd</w:t>
      </w:r>
      <w:r>
        <w:t>) where r</w:t>
      </w:r>
      <w:r w:rsidRPr="004B693B">
        <w:rPr>
          <w:vertAlign w:val="subscript"/>
        </w:rPr>
        <w:t>nd</w:t>
      </w:r>
      <w:r>
        <w:t xml:space="preserve"> is the after-tax cost of NFL.</w:t>
      </w:r>
    </w:p>
    <w:p w:rsidR="002737F7" w:rsidRDefault="003D069A" w:rsidP="002737F7">
      <w:pPr>
        <w:pStyle w:val="Heading2"/>
      </w:pPr>
      <w:r>
        <w:t>Relative v</w:t>
      </w:r>
      <w:r w:rsidR="002737F7">
        <w:t>aluation: Forward P/E,</w:t>
      </w:r>
      <w:r w:rsidR="002737F7" w:rsidRPr="006B5ADD">
        <w:t xml:space="preserve"> </w:t>
      </w:r>
      <w:r w:rsidR="00C45AB4">
        <w:t>Price</w:t>
      </w:r>
      <w:r>
        <w:t xml:space="preserve"> to Book</w:t>
      </w:r>
      <w:r w:rsidR="00937B3A">
        <w:t>,</w:t>
      </w:r>
      <w:r w:rsidR="002737F7" w:rsidRPr="006B5ADD">
        <w:t xml:space="preserve"> </w:t>
      </w:r>
      <w:r w:rsidR="002737F7">
        <w:t>and Dividend Yield</w:t>
      </w:r>
    </w:p>
    <w:p w:rsidR="003D069A" w:rsidRDefault="003D069A" w:rsidP="002737F7">
      <w:pPr>
        <w:pStyle w:val="BodyText"/>
      </w:pPr>
      <w:r>
        <w:t xml:space="preserve">For relative valuation, investors often compare the firm’s equity value to its earnings, book values, and dividends. </w:t>
      </w:r>
      <w:r w:rsidR="00803AEC">
        <w:t xml:space="preserve">Changes in these ratios across time and across firms can be attributed to </w:t>
      </w:r>
      <w:r w:rsidR="00324928">
        <w:t xml:space="preserve">changes in </w:t>
      </w:r>
      <w:r w:rsidR="00D97A45">
        <w:t xml:space="preserve">perceived </w:t>
      </w:r>
      <w:r w:rsidR="00803AEC">
        <w:t xml:space="preserve">risk, </w:t>
      </w:r>
      <w:r w:rsidR="00D97A45">
        <w:t xml:space="preserve">expected </w:t>
      </w:r>
      <w:r w:rsidR="00803AEC">
        <w:t xml:space="preserve">growth, </w:t>
      </w:r>
      <w:r w:rsidR="00D97A45">
        <w:t>or</w:t>
      </w:r>
      <w:r w:rsidR="00803AEC">
        <w:t xml:space="preserve"> mispricing. </w:t>
      </w:r>
    </w:p>
    <w:p w:rsidR="002737F7" w:rsidRDefault="002737F7" w:rsidP="00B132DC">
      <w:pPr>
        <w:pStyle w:val="Heading3"/>
      </w:pPr>
      <w:r w:rsidRPr="006B5ADD">
        <w:t>Forward P</w:t>
      </w:r>
      <w:r w:rsidR="004C2289" w:rsidRPr="004C2289">
        <w:rPr>
          <w:vertAlign w:val="subscript"/>
        </w:rPr>
        <w:t>0</w:t>
      </w:r>
      <w:r w:rsidRPr="006B5ADD">
        <w:t>/E</w:t>
      </w:r>
      <w:r w:rsidR="004C2289" w:rsidRPr="004C2289">
        <w:rPr>
          <w:vertAlign w:val="subscript"/>
        </w:rPr>
        <w:t>1</w:t>
      </w:r>
    </w:p>
    <w:p w:rsidR="006A7748" w:rsidRPr="00B132DC" w:rsidRDefault="006A7748" w:rsidP="006A7748">
      <w:pPr>
        <w:pStyle w:val="BodyText"/>
        <w:numPr>
          <w:ilvl w:val="0"/>
          <w:numId w:val="20"/>
        </w:numPr>
      </w:pPr>
      <w:r w:rsidRPr="00B132DC">
        <w:t>P/E</w:t>
      </w:r>
      <w:r>
        <w:t xml:space="preserve"> ratio</w:t>
      </w:r>
      <w:r w:rsidRPr="00B132DC">
        <w:t xml:space="preserve"> depend</w:t>
      </w:r>
      <w:r>
        <w:t>s</w:t>
      </w:r>
      <w:r w:rsidRPr="00B132DC">
        <w:t xml:space="preserve"> on risk and growth in earnings. It also depends on interest rates.</w:t>
      </w:r>
    </w:p>
    <w:p w:rsidR="002737F7" w:rsidRPr="00B132DC" w:rsidRDefault="00586693" w:rsidP="00B132DC">
      <w:pPr>
        <w:pStyle w:val="BodyText"/>
        <w:numPr>
          <w:ilvl w:val="0"/>
          <w:numId w:val="20"/>
        </w:numPr>
      </w:pPr>
      <w:r>
        <w:t>T</w:t>
      </w:r>
      <w:r w:rsidR="00855354">
        <w:t xml:space="preserve">he benchmark P/E is </w:t>
      </w:r>
      <w:r w:rsidR="00937B3A">
        <w:t>1/r</w:t>
      </w:r>
      <w:r w:rsidR="00937B3A" w:rsidRPr="006A7748">
        <w:rPr>
          <w:vertAlign w:val="subscript"/>
        </w:rPr>
        <w:t>e</w:t>
      </w:r>
      <w:r w:rsidR="006A7748">
        <w:t>.</w:t>
      </w:r>
    </w:p>
    <w:p w:rsidR="002737F7" w:rsidRPr="00B132DC" w:rsidRDefault="002737F7" w:rsidP="00B132DC">
      <w:pPr>
        <w:pStyle w:val="BodyText"/>
        <w:numPr>
          <w:ilvl w:val="0"/>
          <w:numId w:val="20"/>
        </w:numPr>
      </w:pPr>
      <w:r w:rsidRPr="00B132DC">
        <w:t>The inverse of P/E is often referred to a</w:t>
      </w:r>
      <w:r w:rsidR="00C65C1C">
        <w:t>s (forward) earnings yield.</w:t>
      </w:r>
    </w:p>
    <w:p w:rsidR="002737F7" w:rsidRPr="00B132DC" w:rsidRDefault="002737F7" w:rsidP="00B132DC">
      <w:pPr>
        <w:pStyle w:val="BodyText"/>
        <w:numPr>
          <w:ilvl w:val="0"/>
          <w:numId w:val="20"/>
        </w:numPr>
      </w:pPr>
      <w:r w:rsidRPr="00B132DC">
        <w:t xml:space="preserve">As a statistical benchmark, over the long haul as a crude average, P/E approximates 15. </w:t>
      </w:r>
    </w:p>
    <w:p w:rsidR="002737F7" w:rsidRDefault="00C65C1C" w:rsidP="00B132DC">
      <w:pPr>
        <w:pStyle w:val="Heading3"/>
      </w:pPr>
      <w:r>
        <w:t xml:space="preserve">Price to Book </w:t>
      </w:r>
      <w:r w:rsidR="00913A7A">
        <w:t>Ratio [</w:t>
      </w:r>
      <w:r>
        <w:t>P</w:t>
      </w:r>
      <w:r w:rsidR="004C2289" w:rsidRPr="004C2289">
        <w:rPr>
          <w:vertAlign w:val="subscript"/>
        </w:rPr>
        <w:t>0</w:t>
      </w:r>
      <w:r w:rsidR="002737F7" w:rsidRPr="00B54A7D">
        <w:t>/B</w:t>
      </w:r>
      <w:r w:rsidR="004C2289" w:rsidRPr="004C2289">
        <w:rPr>
          <w:vertAlign w:val="subscript"/>
        </w:rPr>
        <w:t>0</w:t>
      </w:r>
      <w:r w:rsidR="00913A7A">
        <w:t>]</w:t>
      </w:r>
    </w:p>
    <w:p w:rsidR="006A7748" w:rsidRPr="00E929CE" w:rsidRDefault="00855354" w:rsidP="00E929CE">
      <w:pPr>
        <w:pStyle w:val="BodyText"/>
        <w:numPr>
          <w:ilvl w:val="0"/>
          <w:numId w:val="20"/>
        </w:numPr>
      </w:pPr>
      <w:r w:rsidRPr="00E929CE">
        <w:t>P</w:t>
      </w:r>
      <w:r w:rsidR="006A7748" w:rsidRPr="00E929CE">
        <w:t>/B ratio depends on risk, growth, and return on equity</w:t>
      </w:r>
    </w:p>
    <w:p w:rsidR="00C65C1C" w:rsidRPr="00E929CE" w:rsidRDefault="00855354" w:rsidP="00E929CE">
      <w:pPr>
        <w:pStyle w:val="BodyText"/>
        <w:numPr>
          <w:ilvl w:val="0"/>
          <w:numId w:val="20"/>
        </w:numPr>
      </w:pPr>
      <w:r w:rsidRPr="00E929CE">
        <w:t>P</w:t>
      </w:r>
      <w:r w:rsidR="00C65C1C" w:rsidRPr="00E929CE">
        <w:t xml:space="preserve">/B = </w:t>
      </w:r>
      <w:r w:rsidRPr="00E929CE">
        <w:t>Price</w:t>
      </w:r>
      <w:r w:rsidR="00C65C1C" w:rsidRPr="00E929CE">
        <w:t>/Earnings * Earnings/</w:t>
      </w:r>
      <w:r w:rsidRPr="00E929CE">
        <w:t>Book value = P/E * ROE</w:t>
      </w:r>
    </w:p>
    <w:p w:rsidR="002737F7" w:rsidRDefault="00586693" w:rsidP="00B132DC">
      <w:pPr>
        <w:pStyle w:val="BodyText"/>
        <w:numPr>
          <w:ilvl w:val="0"/>
          <w:numId w:val="21"/>
        </w:numPr>
      </w:pPr>
      <w:r>
        <w:t>The benchmark P/B is 1.</w:t>
      </w:r>
    </w:p>
    <w:p w:rsidR="002737F7" w:rsidRDefault="002737F7" w:rsidP="00B132DC">
      <w:pPr>
        <w:pStyle w:val="BodyText"/>
        <w:numPr>
          <w:ilvl w:val="0"/>
          <w:numId w:val="21"/>
        </w:numPr>
      </w:pPr>
      <w:r>
        <w:t>Conceptual benchmark appli</w:t>
      </w:r>
      <w:r w:rsidR="00937B3A">
        <w:t>es if the expected ROE equals r</w:t>
      </w:r>
      <w:r w:rsidR="00937B3A" w:rsidRPr="00937B3A">
        <w:rPr>
          <w:vertAlign w:val="subscript"/>
        </w:rPr>
        <w:t>e</w:t>
      </w:r>
    </w:p>
    <w:p w:rsidR="002737F7" w:rsidRDefault="002737F7" w:rsidP="00B132DC">
      <w:pPr>
        <w:pStyle w:val="BodyText"/>
        <w:numPr>
          <w:ilvl w:val="0"/>
          <w:numId w:val="21"/>
        </w:numPr>
      </w:pPr>
      <w:r>
        <w:t xml:space="preserve">Because of accounting conservatism, </w:t>
      </w:r>
      <w:r w:rsidR="003400B4">
        <w:t>P/</w:t>
      </w:r>
      <w:r>
        <w:t>B is rarely less than one and typically has a multiple of 2-4 times</w:t>
      </w:r>
    </w:p>
    <w:p w:rsidR="002737F7" w:rsidRDefault="002737F7" w:rsidP="00B132DC">
      <w:pPr>
        <w:pStyle w:val="BodyText"/>
        <w:numPr>
          <w:ilvl w:val="0"/>
          <w:numId w:val="21"/>
        </w:numPr>
      </w:pPr>
      <w:r>
        <w:t>By extension, ROE often seems quite large (</w:t>
      </w:r>
      <w:r w:rsidR="000747CB">
        <w:t>in excess of</w:t>
      </w:r>
      <w:r>
        <w:t xml:space="preserve"> 20 %)</w:t>
      </w:r>
    </w:p>
    <w:p w:rsidR="002737F7" w:rsidRDefault="004C2289" w:rsidP="00B132DC">
      <w:pPr>
        <w:pStyle w:val="Heading3"/>
      </w:pPr>
      <w:r>
        <w:t>Forward d</w:t>
      </w:r>
      <w:r w:rsidR="002737F7" w:rsidRPr="009C3EFE">
        <w:t>ividend yield ratio</w:t>
      </w:r>
      <w:r w:rsidR="002737F7">
        <w:t xml:space="preserve"> or Div</w:t>
      </w:r>
      <w:r w:rsidRPr="004C2289">
        <w:rPr>
          <w:vertAlign w:val="subscript"/>
        </w:rPr>
        <w:t>1</w:t>
      </w:r>
      <w:r w:rsidR="002737F7">
        <w:t>/P</w:t>
      </w:r>
      <w:r w:rsidR="00006203">
        <w:rPr>
          <w:vertAlign w:val="subscript"/>
        </w:rPr>
        <w:t>0</w:t>
      </w:r>
      <w:r w:rsidR="002737F7">
        <w:t xml:space="preserve"> </w:t>
      </w:r>
    </w:p>
    <w:p w:rsidR="002737F7" w:rsidRDefault="002737F7" w:rsidP="00937B3A">
      <w:pPr>
        <w:pStyle w:val="BodyText"/>
        <w:numPr>
          <w:ilvl w:val="0"/>
          <w:numId w:val="22"/>
        </w:numPr>
      </w:pPr>
      <w:r>
        <w:t>The dividend may refer to either the current or forward dividend</w:t>
      </w:r>
    </w:p>
    <w:p w:rsidR="002737F7" w:rsidRDefault="002737F7" w:rsidP="00937B3A">
      <w:pPr>
        <w:pStyle w:val="BodyText"/>
        <w:numPr>
          <w:ilvl w:val="0"/>
          <w:numId w:val="22"/>
        </w:numPr>
      </w:pPr>
      <w:r w:rsidRPr="009C3EFE">
        <w:t>There is NO benchmark</w:t>
      </w:r>
    </w:p>
    <w:p w:rsidR="002737F7" w:rsidRDefault="002737F7" w:rsidP="00937B3A">
      <w:pPr>
        <w:pStyle w:val="BodyText"/>
        <w:numPr>
          <w:ilvl w:val="0"/>
          <w:numId w:val="22"/>
        </w:numPr>
      </w:pPr>
      <w:r>
        <w:t>Many firms do not pay dividends, nor do they plan to do so in the foreseeable future</w:t>
      </w:r>
    </w:p>
    <w:p w:rsidR="002737F7" w:rsidRDefault="002737F7" w:rsidP="00937B3A">
      <w:pPr>
        <w:pStyle w:val="BodyText"/>
        <w:numPr>
          <w:ilvl w:val="0"/>
          <w:numId w:val="22"/>
        </w:numPr>
      </w:pPr>
      <w:r>
        <w:t>As a statistical average, yield ratios tend to be 3-4% with a significant variation across firms and time periods</w:t>
      </w:r>
    </w:p>
    <w:p w:rsidR="002737F7" w:rsidRDefault="002737F7" w:rsidP="00937B3A">
      <w:pPr>
        <w:pStyle w:val="BodyText"/>
        <w:numPr>
          <w:ilvl w:val="0"/>
          <w:numId w:val="22"/>
        </w:numPr>
      </w:pPr>
      <w:r>
        <w:t xml:space="preserve">The yield ratio depends </w:t>
      </w:r>
      <w:r w:rsidRPr="0049704F">
        <w:t>on risk and growth in dividends</w:t>
      </w:r>
    </w:p>
    <w:p w:rsidR="00460F91" w:rsidRDefault="00460F91" w:rsidP="00460F91">
      <w:pPr>
        <w:pStyle w:val="Heading2"/>
      </w:pPr>
      <w:r>
        <w:t>Estimated and actual values: Explaining the difference</w:t>
      </w:r>
    </w:p>
    <w:p w:rsidR="00460F91" w:rsidRDefault="00460F91" w:rsidP="00460F91">
      <w:pPr>
        <w:pStyle w:val="BodyText"/>
      </w:pPr>
      <w:r>
        <w:t>P</w:t>
      </w:r>
      <w:r w:rsidRPr="00BB62A5">
        <w:rPr>
          <w:vertAlign w:val="subscript"/>
        </w:rPr>
        <w:t>0</w:t>
      </w:r>
      <w:r>
        <w:t xml:space="preserve"> = estimated value</w:t>
      </w:r>
    </w:p>
    <w:p w:rsidR="00460F91" w:rsidRDefault="00460F91" w:rsidP="00460F91">
      <w:pPr>
        <w:pStyle w:val="BodyText"/>
      </w:pPr>
      <w:r>
        <w:t>M</w:t>
      </w:r>
      <w:r w:rsidRPr="00BB62A5">
        <w:rPr>
          <w:vertAlign w:val="subscript"/>
        </w:rPr>
        <w:t>0</w:t>
      </w:r>
      <w:r>
        <w:t xml:space="preserve"> = actual market value</w:t>
      </w:r>
    </w:p>
    <w:p w:rsidR="00460F91" w:rsidRDefault="00460F91" w:rsidP="00460F91">
      <w:pPr>
        <w:pStyle w:val="BodyText"/>
      </w:pPr>
      <w:r>
        <w:t>e</w:t>
      </w:r>
      <w:r w:rsidRPr="00BB62A5">
        <w:rPr>
          <w:vertAlign w:val="subscript"/>
        </w:rPr>
        <w:t>1</w:t>
      </w:r>
      <w:r>
        <w:t xml:space="preserve"> = estimated earnings</w:t>
      </w:r>
    </w:p>
    <w:p w:rsidR="00460F91" w:rsidRDefault="00460F91" w:rsidP="00460F91">
      <w:pPr>
        <w:pStyle w:val="BodyText"/>
      </w:pPr>
      <w:r>
        <w:t>f</w:t>
      </w:r>
      <w:r w:rsidRPr="00BB62A5">
        <w:rPr>
          <w:vertAlign w:val="subscript"/>
        </w:rPr>
        <w:t>1</w:t>
      </w:r>
      <w:r>
        <w:t xml:space="preserve"> = analyst forecast of forthcoming earnings</w:t>
      </w:r>
    </w:p>
    <w:tbl>
      <w:tblPr>
        <w:tblW w:w="0" w:type="auto"/>
        <w:tblInd w:w="115" w:type="dxa"/>
        <w:tblCellMar>
          <w:left w:w="0" w:type="dxa"/>
          <w:right w:w="0" w:type="dxa"/>
        </w:tblCellMar>
        <w:tblLook w:val="01E0" w:firstRow="1" w:lastRow="1" w:firstColumn="1" w:lastColumn="1" w:noHBand="0" w:noVBand="0"/>
      </w:tblPr>
      <w:tblGrid>
        <w:gridCol w:w="821"/>
        <w:gridCol w:w="898"/>
        <w:gridCol w:w="266"/>
        <w:gridCol w:w="308"/>
        <w:gridCol w:w="195"/>
        <w:gridCol w:w="238"/>
        <w:gridCol w:w="278"/>
        <w:gridCol w:w="496"/>
      </w:tblGrid>
      <w:tr w:rsidR="00460F91" w:rsidTr="009A49AD">
        <w:trPr>
          <w:cantSplit/>
        </w:trPr>
        <w:tc>
          <w:tcPr>
            <w:tcW w:w="0" w:type="auto"/>
            <w:vMerge w:val="restart"/>
            <w:vAlign w:val="center"/>
          </w:tcPr>
          <w:p w:rsidR="00460F91" w:rsidRPr="00FE337A" w:rsidRDefault="00460F91" w:rsidP="009A49AD">
            <w:pPr>
              <w:keepNext/>
              <w:jc w:val="center"/>
            </w:pPr>
            <w:r>
              <w:t>P</w:t>
            </w:r>
            <w:r w:rsidRPr="00C06117">
              <w:rPr>
                <w:vertAlign w:val="subscript"/>
              </w:rPr>
              <w:t>0</w:t>
            </w:r>
            <w:r>
              <w:t xml:space="preserve"> - M</w:t>
            </w:r>
            <w:r w:rsidRPr="00FE337A">
              <w:rPr>
                <w:vertAlign w:val="subscript"/>
              </w:rPr>
              <w:t>0</w:t>
            </w:r>
            <w:r>
              <w:t xml:space="preserve"> =   </w:t>
            </w:r>
          </w:p>
        </w:tc>
        <w:tc>
          <w:tcPr>
            <w:tcW w:w="0" w:type="auto"/>
            <w:vMerge w:val="restart"/>
            <w:vAlign w:val="center"/>
          </w:tcPr>
          <w:p w:rsidR="00460F91" w:rsidRPr="00F555D1" w:rsidRDefault="00460F91" w:rsidP="009A49AD">
            <w:pPr>
              <w:keepNext/>
              <w:jc w:val="center"/>
            </w:pPr>
            <w:r>
              <w:t xml:space="preserve"> (e</w:t>
            </w:r>
            <w:r w:rsidRPr="00F1650E">
              <w:rPr>
                <w:vertAlign w:val="subscript"/>
              </w:rPr>
              <w:t>1</w:t>
            </w:r>
            <w:r>
              <w:t xml:space="preserve"> – f</w:t>
            </w:r>
            <w:r w:rsidRPr="00C06117">
              <w:rPr>
                <w:vertAlign w:val="subscript"/>
              </w:rPr>
              <w:t>1</w:t>
            </w:r>
            <w:r>
              <w:t>) *</w:t>
            </w:r>
          </w:p>
        </w:tc>
        <w:tc>
          <w:tcPr>
            <w:tcW w:w="0" w:type="auto"/>
            <w:tcBorders>
              <w:bottom w:val="single" w:sz="2" w:space="0" w:color="auto"/>
            </w:tcBorders>
          </w:tcPr>
          <w:p w:rsidR="00460F91" w:rsidRDefault="00460F91" w:rsidP="009A49AD">
            <w:pPr>
              <w:keepNext/>
              <w:jc w:val="center"/>
            </w:pPr>
            <w:r>
              <w:t>M</w:t>
            </w:r>
            <w:r w:rsidRPr="00A006CF">
              <w:rPr>
                <w:vertAlign w:val="subscript"/>
              </w:rPr>
              <w:t>0</w:t>
            </w:r>
          </w:p>
        </w:tc>
        <w:tc>
          <w:tcPr>
            <w:tcW w:w="0" w:type="auto"/>
            <w:vMerge w:val="restart"/>
            <w:vAlign w:val="center"/>
          </w:tcPr>
          <w:p w:rsidR="00460F91" w:rsidRDefault="00460F91" w:rsidP="009A49AD">
            <w:pPr>
              <w:keepNext/>
              <w:jc w:val="center"/>
            </w:pPr>
            <w:r>
              <w:t xml:space="preserve"> + (</w:t>
            </w:r>
          </w:p>
        </w:tc>
        <w:tc>
          <w:tcPr>
            <w:tcW w:w="0" w:type="auto"/>
            <w:tcBorders>
              <w:bottom w:val="single" w:sz="2" w:space="0" w:color="auto"/>
            </w:tcBorders>
          </w:tcPr>
          <w:p w:rsidR="00460F91" w:rsidRDefault="00460F91" w:rsidP="009A49AD">
            <w:pPr>
              <w:keepNext/>
              <w:jc w:val="center"/>
            </w:pPr>
            <w:r>
              <w:t>P</w:t>
            </w:r>
            <w:r w:rsidRPr="00F555D1">
              <w:rPr>
                <w:vertAlign w:val="subscript"/>
              </w:rPr>
              <w:t>0</w:t>
            </w:r>
          </w:p>
        </w:tc>
        <w:tc>
          <w:tcPr>
            <w:tcW w:w="236" w:type="dxa"/>
            <w:vMerge w:val="restart"/>
            <w:vAlign w:val="center"/>
          </w:tcPr>
          <w:p w:rsidR="00460F91" w:rsidRDefault="00460F91" w:rsidP="009A49AD">
            <w:pPr>
              <w:keepNext/>
              <w:jc w:val="center"/>
            </w:pPr>
            <w:r>
              <w:t>-</w:t>
            </w:r>
          </w:p>
        </w:tc>
        <w:tc>
          <w:tcPr>
            <w:tcW w:w="276" w:type="dxa"/>
            <w:tcBorders>
              <w:bottom w:val="single" w:sz="2" w:space="0" w:color="auto"/>
            </w:tcBorders>
          </w:tcPr>
          <w:p w:rsidR="00460F91" w:rsidRDefault="00460F91" w:rsidP="009A49AD">
            <w:pPr>
              <w:keepNext/>
              <w:jc w:val="center"/>
            </w:pPr>
            <w:r>
              <w:t>M</w:t>
            </w:r>
            <w:r w:rsidRPr="00F555D1">
              <w:rPr>
                <w:vertAlign w:val="subscript"/>
              </w:rPr>
              <w:t>0</w:t>
            </w:r>
          </w:p>
        </w:tc>
        <w:tc>
          <w:tcPr>
            <w:tcW w:w="492" w:type="dxa"/>
            <w:vMerge w:val="restart"/>
            <w:vAlign w:val="center"/>
          </w:tcPr>
          <w:p w:rsidR="00460F91" w:rsidRDefault="00460F91" w:rsidP="009A49AD">
            <w:pPr>
              <w:keepNext/>
            </w:pPr>
            <w:r>
              <w:t>)* e</w:t>
            </w:r>
            <w:r w:rsidRPr="00F555D1">
              <w:rPr>
                <w:vertAlign w:val="subscript"/>
              </w:rPr>
              <w:t>1</w:t>
            </w:r>
          </w:p>
        </w:tc>
      </w:tr>
      <w:tr w:rsidR="00460F91" w:rsidTr="009A49AD">
        <w:trPr>
          <w:cantSplit/>
        </w:trPr>
        <w:tc>
          <w:tcPr>
            <w:tcW w:w="0" w:type="auto"/>
            <w:vMerge/>
          </w:tcPr>
          <w:p w:rsidR="00460F91" w:rsidRDefault="00460F91" w:rsidP="009A49AD">
            <w:pPr>
              <w:keepNext/>
              <w:jc w:val="center"/>
            </w:pPr>
          </w:p>
        </w:tc>
        <w:tc>
          <w:tcPr>
            <w:tcW w:w="0" w:type="auto"/>
            <w:vMerge/>
          </w:tcPr>
          <w:p w:rsidR="00460F91" w:rsidRDefault="00460F91" w:rsidP="009A49AD">
            <w:pPr>
              <w:keepNext/>
              <w:jc w:val="center"/>
            </w:pPr>
          </w:p>
        </w:tc>
        <w:tc>
          <w:tcPr>
            <w:tcW w:w="0" w:type="auto"/>
            <w:tcBorders>
              <w:top w:val="single" w:sz="2" w:space="0" w:color="auto"/>
            </w:tcBorders>
          </w:tcPr>
          <w:p w:rsidR="00460F91" w:rsidRDefault="00460F91" w:rsidP="009A49AD">
            <w:pPr>
              <w:keepNext/>
              <w:jc w:val="center"/>
            </w:pPr>
            <w:r>
              <w:t>f</w:t>
            </w:r>
            <w:r w:rsidRPr="00A006CF">
              <w:rPr>
                <w:vertAlign w:val="subscript"/>
              </w:rPr>
              <w:t>1</w:t>
            </w:r>
          </w:p>
        </w:tc>
        <w:tc>
          <w:tcPr>
            <w:tcW w:w="0" w:type="auto"/>
            <w:vMerge/>
          </w:tcPr>
          <w:p w:rsidR="00460F91" w:rsidRDefault="00460F91" w:rsidP="009A49AD">
            <w:pPr>
              <w:keepNext/>
              <w:jc w:val="center"/>
            </w:pPr>
          </w:p>
        </w:tc>
        <w:tc>
          <w:tcPr>
            <w:tcW w:w="0" w:type="auto"/>
            <w:tcBorders>
              <w:top w:val="single" w:sz="2" w:space="0" w:color="auto"/>
            </w:tcBorders>
          </w:tcPr>
          <w:p w:rsidR="00460F91" w:rsidRDefault="00460F91" w:rsidP="009A49AD">
            <w:pPr>
              <w:keepNext/>
              <w:jc w:val="center"/>
            </w:pPr>
            <w:r>
              <w:t>e</w:t>
            </w:r>
            <w:r w:rsidRPr="00F555D1">
              <w:rPr>
                <w:vertAlign w:val="subscript"/>
              </w:rPr>
              <w:t>1</w:t>
            </w:r>
          </w:p>
        </w:tc>
        <w:tc>
          <w:tcPr>
            <w:tcW w:w="236" w:type="dxa"/>
            <w:vMerge/>
          </w:tcPr>
          <w:p w:rsidR="00460F91" w:rsidRDefault="00460F91" w:rsidP="009A49AD">
            <w:pPr>
              <w:keepNext/>
              <w:jc w:val="center"/>
            </w:pPr>
          </w:p>
        </w:tc>
        <w:tc>
          <w:tcPr>
            <w:tcW w:w="276" w:type="dxa"/>
            <w:tcBorders>
              <w:top w:val="single" w:sz="2" w:space="0" w:color="auto"/>
            </w:tcBorders>
          </w:tcPr>
          <w:p w:rsidR="00460F91" w:rsidRDefault="00460F91" w:rsidP="009A49AD">
            <w:pPr>
              <w:keepNext/>
              <w:jc w:val="center"/>
            </w:pPr>
            <w:r>
              <w:t>f</w:t>
            </w:r>
            <w:r w:rsidRPr="00F555D1">
              <w:rPr>
                <w:vertAlign w:val="subscript"/>
              </w:rPr>
              <w:t>1</w:t>
            </w:r>
          </w:p>
        </w:tc>
        <w:tc>
          <w:tcPr>
            <w:tcW w:w="492" w:type="dxa"/>
            <w:vMerge/>
          </w:tcPr>
          <w:p w:rsidR="00460F91" w:rsidRDefault="00460F91" w:rsidP="009A49AD">
            <w:pPr>
              <w:keepNext/>
              <w:jc w:val="center"/>
            </w:pPr>
          </w:p>
        </w:tc>
      </w:tr>
      <w:tr w:rsidR="00460F91" w:rsidTr="009A49AD">
        <w:trPr>
          <w:cantSplit/>
        </w:trPr>
        <w:tc>
          <w:tcPr>
            <w:tcW w:w="0" w:type="auto"/>
          </w:tcPr>
          <w:p w:rsidR="00460F91" w:rsidRDefault="00460F91" w:rsidP="009A49AD">
            <w:pPr>
              <w:keepNext/>
              <w:jc w:val="center"/>
            </w:pPr>
          </w:p>
        </w:tc>
        <w:tc>
          <w:tcPr>
            <w:tcW w:w="0" w:type="auto"/>
            <w:gridSpan w:val="2"/>
          </w:tcPr>
          <w:p w:rsidR="00460F91" w:rsidRDefault="00460F91" w:rsidP="009A49AD">
            <w:pPr>
              <w:keepNext/>
              <w:jc w:val="center"/>
            </w:pPr>
            <w:r>
              <w:t>Term 1</w:t>
            </w:r>
          </w:p>
        </w:tc>
        <w:tc>
          <w:tcPr>
            <w:tcW w:w="0" w:type="auto"/>
          </w:tcPr>
          <w:p w:rsidR="00460F91" w:rsidRDefault="00460F91" w:rsidP="009A49AD">
            <w:pPr>
              <w:keepNext/>
              <w:jc w:val="center"/>
            </w:pPr>
          </w:p>
        </w:tc>
        <w:tc>
          <w:tcPr>
            <w:tcW w:w="1207" w:type="dxa"/>
            <w:gridSpan w:val="4"/>
          </w:tcPr>
          <w:p w:rsidR="00460F91" w:rsidRDefault="00460F91" w:rsidP="009A49AD">
            <w:pPr>
              <w:keepNext/>
              <w:jc w:val="center"/>
            </w:pPr>
            <w:r>
              <w:t>Term 2</w:t>
            </w:r>
          </w:p>
        </w:tc>
      </w:tr>
    </w:tbl>
    <w:p w:rsidR="00460F91" w:rsidRDefault="00460F91" w:rsidP="00460F91"/>
    <w:tbl>
      <w:tblPr>
        <w:tblStyle w:val="TableGrid"/>
        <w:tblW w:w="0" w:type="auto"/>
        <w:tblBorders>
          <w:insideH w:val="none" w:sz="0" w:space="0" w:color="auto"/>
          <w:insideV w:val="none" w:sz="0" w:space="0" w:color="auto"/>
        </w:tblBorders>
        <w:shd w:val="clear" w:color="auto" w:fill="CCECFF"/>
        <w:tblLook w:val="04A0" w:firstRow="1" w:lastRow="0" w:firstColumn="1" w:lastColumn="0" w:noHBand="0" w:noVBand="1"/>
      </w:tblPr>
      <w:tblGrid>
        <w:gridCol w:w="9576"/>
      </w:tblGrid>
      <w:tr w:rsidR="00460F91" w:rsidTr="009A49AD">
        <w:tc>
          <w:tcPr>
            <w:tcW w:w="9576" w:type="dxa"/>
            <w:shd w:val="clear" w:color="auto" w:fill="CCECFF"/>
          </w:tcPr>
          <w:p w:rsidR="00460F91" w:rsidRDefault="00460F91" w:rsidP="009A49AD">
            <w:pPr>
              <w:pStyle w:val="BodyText"/>
            </w:pPr>
            <w:r>
              <w:t xml:space="preserve">Difference in values = </w:t>
            </w:r>
            <w:r>
              <w:tab/>
              <w:t xml:space="preserve">Differences in earnings forecasts * Forward PE ratio as per analyst forecasts  </w:t>
            </w:r>
            <w:r>
              <w:tab/>
            </w:r>
            <w:r>
              <w:tab/>
            </w:r>
            <w:r>
              <w:tab/>
            </w:r>
            <w:r>
              <w:tab/>
              <w:t>+ Differences in forward PE ratios * earnings forecast</w:t>
            </w:r>
          </w:p>
        </w:tc>
      </w:tr>
    </w:tbl>
    <w:p w:rsidR="00460F91" w:rsidRDefault="00460F91" w:rsidP="00460F91"/>
    <w:p w:rsidR="00460F91" w:rsidRDefault="00460F91" w:rsidP="00460F91">
      <w:pPr>
        <w:pStyle w:val="BodyText"/>
      </w:pPr>
      <w:r>
        <w:t>Term 1 picks up the effect of forward earnings optimism. As discussed in VAL3, one can further decompose the earnings optimism is sales optimism and margin optimism.</w:t>
      </w:r>
    </w:p>
    <w:p w:rsidR="00460F91" w:rsidRDefault="00460F91" w:rsidP="00460F91">
      <w:pPr>
        <w:pStyle w:val="BodyText"/>
      </w:pPr>
      <w:r>
        <w:t>Term2 picks up the effect of optimism regarding growth and risk (approximately, optimism regarding the difference between wacc and growth).</w:t>
      </w:r>
    </w:p>
    <w:p w:rsidR="002B5475" w:rsidRDefault="002B5475" w:rsidP="00460F91">
      <w:pPr>
        <w:pStyle w:val="Heading2"/>
      </w:pPr>
      <w:r>
        <w:t xml:space="preserve">Valuation (VAL1) is financial statement analysis (FSA1) in reverse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22"/>
        <w:gridCol w:w="4751"/>
      </w:tblGrid>
      <w:tr w:rsidR="002B5475" w:rsidRPr="00DC0522" w:rsidTr="009A49AD">
        <w:trPr>
          <w:cantSplit/>
        </w:trPr>
        <w:tc>
          <w:tcPr>
            <w:tcW w:w="0" w:type="auto"/>
            <w:shd w:val="clear" w:color="auto" w:fill="CCECFF"/>
          </w:tcPr>
          <w:p w:rsidR="002B5475" w:rsidRPr="00DC0522" w:rsidRDefault="002B5475" w:rsidP="009A49AD">
            <w:pPr>
              <w:pStyle w:val="TableCentered"/>
              <w:keepNext/>
            </w:pPr>
            <w:r w:rsidRPr="00DC0522">
              <w:t>FSA1</w:t>
            </w:r>
          </w:p>
        </w:tc>
        <w:tc>
          <w:tcPr>
            <w:tcW w:w="0" w:type="auto"/>
            <w:shd w:val="clear" w:color="auto" w:fill="E6E6E6"/>
          </w:tcPr>
          <w:p w:rsidR="002B5475" w:rsidRPr="00DC0522" w:rsidRDefault="002B5475" w:rsidP="009A49AD">
            <w:pPr>
              <w:pStyle w:val="TableCentered"/>
              <w:keepNext/>
            </w:pPr>
            <w:r w:rsidRPr="00DC0522">
              <w:t>VAL1</w: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66432" behindDoc="0" locked="0" layoutInCell="1" allowOverlap="1" wp14:anchorId="2749D0B0" wp14:editId="55D7BA44">
                      <wp:simplePos x="0" y="0"/>
                      <wp:positionH relativeFrom="column">
                        <wp:posOffset>2922381</wp:posOffset>
                      </wp:positionH>
                      <wp:positionV relativeFrom="paragraph">
                        <wp:posOffset>34103</wp:posOffset>
                      </wp:positionV>
                      <wp:extent cx="17780" cy="121920"/>
                      <wp:effectExtent l="0" t="13970" r="44450" b="44450"/>
                      <wp:wrapNone/>
                      <wp:docPr id="12" name="Down Arrow 12"/>
                      <wp:cNvGraphicFramePr/>
                      <a:graphic xmlns:a="http://schemas.openxmlformats.org/drawingml/2006/main">
                        <a:graphicData uri="http://schemas.microsoft.com/office/word/2010/wordprocessingShape">
                          <wps:wsp>
                            <wps:cNvSpPr/>
                            <wps:spPr>
                              <a:xfrm rot="16200000">
                                <a:off x="0" y="0"/>
                                <a:ext cx="17780"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F13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30.1pt;margin-top:2.7pt;width:1.4pt;height:9.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" adj="20025" fillcolor="#4f81bd [3204]" strokecolor="#243f60 [1604]" strokeweight="2pt"/>
                  </w:pict>
                </mc:Fallback>
              </mc:AlternateContent>
            </w:r>
            <w:r>
              <w:t xml:space="preserve">4. </w:t>
            </w:r>
            <w:r w:rsidRPr="00DC0522">
              <w:t>Identify drivers of enterprise cash flows</w:t>
            </w:r>
          </w:p>
        </w:tc>
        <w:tc>
          <w:tcPr>
            <w:tcW w:w="0" w:type="auto"/>
            <w:shd w:val="clear" w:color="auto" w:fill="auto"/>
          </w:tcPr>
          <w:p w:rsidR="002B5475" w:rsidRPr="00DC0522" w:rsidRDefault="002B5475" w:rsidP="009A49AD">
            <w:pPr>
              <w:pStyle w:val="TableCentered"/>
              <w:keepNext/>
            </w:pPr>
            <w:r>
              <w:t xml:space="preserve">5. </w:t>
            </w:r>
            <w:r w:rsidRPr="00DC0522">
              <w:t>Forecast drivers of enterprise cash flows</w: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59264" behindDoc="0" locked="0" layoutInCell="1" allowOverlap="1" wp14:anchorId="5011A3BC" wp14:editId="4FC345C1">
                      <wp:simplePos x="0" y="0"/>
                      <wp:positionH relativeFrom="column">
                        <wp:posOffset>1360805</wp:posOffset>
                      </wp:positionH>
                      <wp:positionV relativeFrom="paragraph">
                        <wp:posOffset>25400</wp:posOffset>
                      </wp:positionV>
                      <wp:extent cx="18288" cy="121920"/>
                      <wp:effectExtent l="19050" t="19050" r="39370" b="11430"/>
                      <wp:wrapNone/>
                      <wp:docPr id="5" name="Down Arrow 5"/>
                      <wp:cNvGraphicFramePr/>
                      <a:graphic xmlns:a="http://schemas.openxmlformats.org/drawingml/2006/main">
                        <a:graphicData uri="http://schemas.microsoft.com/office/word/2010/wordprocessingShape">
                          <wps:wsp>
                            <wps:cNvSpPr/>
                            <wps:spPr>
                              <a:xfrm flipV="1">
                                <a:off x="0" y="0"/>
                                <a:ext cx="18288"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59CA3" id="Down Arrow 5" o:spid="_x0000_s1026" type="#_x0000_t67" style="position:absolute;margin-left:107.15pt;margin-top:2pt;width:1.45pt;height:9.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" adj="19980" fillcolor="#4f81bd [3204]" strokecolor="#243f60 [1604]" strokeweight="2pt"/>
                  </w:pict>
                </mc:Fallback>
              </mc:AlternateContent>
            </w:r>
          </w:p>
        </w:tc>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62336" behindDoc="0" locked="0" layoutInCell="1" allowOverlap="1" wp14:anchorId="1157CA84" wp14:editId="7000F5C7">
                      <wp:simplePos x="0" y="0"/>
                      <wp:positionH relativeFrom="column">
                        <wp:posOffset>1134110</wp:posOffset>
                      </wp:positionH>
                      <wp:positionV relativeFrom="paragraph">
                        <wp:posOffset>19685</wp:posOffset>
                      </wp:positionV>
                      <wp:extent cx="18288" cy="121920"/>
                      <wp:effectExtent l="19050" t="0" r="39370" b="30480"/>
                      <wp:wrapNone/>
                      <wp:docPr id="8" name="Down Arrow 8"/>
                      <wp:cNvGraphicFramePr/>
                      <a:graphic xmlns:a="http://schemas.openxmlformats.org/drawingml/2006/main">
                        <a:graphicData uri="http://schemas.microsoft.com/office/word/2010/wordprocessingShape">
                          <wps:wsp>
                            <wps:cNvSpPr/>
                            <wps:spPr>
                              <a:xfrm>
                                <a:off x="0" y="0"/>
                                <a:ext cx="18288"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C4F9" id="Down Arrow 8" o:spid="_x0000_s1026" type="#_x0000_t67" style="position:absolute;margin-left:89.3pt;margin-top:1.55pt;width:1.4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" adj="19980" fillcolor="#4f81bd [3204]" strokecolor="#243f60 [1604]" strokeweight="2pt"/>
                  </w:pict>
                </mc:Fallback>
              </mc:AlternateConten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r>
              <w:t xml:space="preserve">3. </w:t>
            </w:r>
            <w:r w:rsidRPr="00DC0522">
              <w:t xml:space="preserve">Derive </w:t>
            </w:r>
            <w:r>
              <w:t>e</w:t>
            </w:r>
            <w:r w:rsidRPr="00DC0522">
              <w:t>nterprise cash flows</w:t>
            </w:r>
          </w:p>
        </w:tc>
        <w:tc>
          <w:tcPr>
            <w:tcW w:w="0" w:type="auto"/>
            <w:shd w:val="clear" w:color="auto" w:fill="auto"/>
          </w:tcPr>
          <w:p w:rsidR="002B5475" w:rsidRPr="00DC0522" w:rsidRDefault="002B5475" w:rsidP="009A49AD">
            <w:pPr>
              <w:pStyle w:val="TableCentered"/>
              <w:keepNext/>
            </w:pPr>
            <w:r>
              <w:t xml:space="preserve">6. </w:t>
            </w:r>
            <w:r w:rsidRPr="00DC0522">
              <w:t>Derive enterprise cash flows</w: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60288" behindDoc="0" locked="0" layoutInCell="1" allowOverlap="1" wp14:anchorId="6FE1CC99" wp14:editId="44730CC8">
                      <wp:simplePos x="0" y="0"/>
                      <wp:positionH relativeFrom="column">
                        <wp:posOffset>1361440</wp:posOffset>
                      </wp:positionH>
                      <wp:positionV relativeFrom="paragraph">
                        <wp:posOffset>21590</wp:posOffset>
                      </wp:positionV>
                      <wp:extent cx="18288" cy="121920"/>
                      <wp:effectExtent l="19050" t="19050" r="39370" b="11430"/>
                      <wp:wrapNone/>
                      <wp:docPr id="6" name="Down Arrow 6"/>
                      <wp:cNvGraphicFramePr/>
                      <a:graphic xmlns:a="http://schemas.openxmlformats.org/drawingml/2006/main">
                        <a:graphicData uri="http://schemas.microsoft.com/office/word/2010/wordprocessingShape">
                          <wps:wsp>
                            <wps:cNvSpPr/>
                            <wps:spPr>
                              <a:xfrm flipV="1">
                                <a:off x="0" y="0"/>
                                <a:ext cx="18288"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AADE" id="Down Arrow 6" o:spid="_x0000_s1026" type="#_x0000_t67" style="position:absolute;margin-left:107.2pt;margin-top:1.7pt;width:1.45pt;height:9.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" adj="19980" fillcolor="#4f81bd [3204]" strokecolor="#243f60 [1604]" strokeweight="2pt"/>
                  </w:pict>
                </mc:Fallback>
              </mc:AlternateContent>
            </w:r>
          </w:p>
        </w:tc>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63360" behindDoc="0" locked="0" layoutInCell="1" allowOverlap="1" wp14:anchorId="0CBE3099" wp14:editId="775B0C2F">
                      <wp:simplePos x="0" y="0"/>
                      <wp:positionH relativeFrom="column">
                        <wp:posOffset>1134110</wp:posOffset>
                      </wp:positionH>
                      <wp:positionV relativeFrom="paragraph">
                        <wp:posOffset>5715</wp:posOffset>
                      </wp:positionV>
                      <wp:extent cx="18288" cy="121920"/>
                      <wp:effectExtent l="19050" t="0" r="39370" b="30480"/>
                      <wp:wrapNone/>
                      <wp:docPr id="9" name="Down Arrow 9"/>
                      <wp:cNvGraphicFramePr/>
                      <a:graphic xmlns:a="http://schemas.openxmlformats.org/drawingml/2006/main">
                        <a:graphicData uri="http://schemas.microsoft.com/office/word/2010/wordprocessingShape">
                          <wps:wsp>
                            <wps:cNvSpPr/>
                            <wps:spPr>
                              <a:xfrm>
                                <a:off x="0" y="0"/>
                                <a:ext cx="18288"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F7EBF" id="Down Arrow 9" o:spid="_x0000_s1026" type="#_x0000_t67" style="position:absolute;margin-left:89.3pt;margin-top:.45pt;width:1.4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" adj="19980" fillcolor="#4f81bd [3204]" strokecolor="#243f60 [1604]" strokeweight="2pt"/>
                  </w:pict>
                </mc:Fallback>
              </mc:AlternateConten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p>
        </w:tc>
        <w:tc>
          <w:tcPr>
            <w:tcW w:w="0" w:type="auto"/>
            <w:shd w:val="clear" w:color="auto" w:fill="auto"/>
          </w:tcPr>
          <w:p w:rsidR="002B5475" w:rsidRPr="00DC0522" w:rsidRDefault="002B5475" w:rsidP="009A49AD">
            <w:pPr>
              <w:pStyle w:val="TableCentered"/>
              <w:keepNext/>
            </w:pPr>
            <w:r>
              <w:t xml:space="preserve">7. </w:t>
            </w:r>
            <w:r w:rsidRPr="00DC0522">
              <w:t xml:space="preserve">Discount at enterprise cost of capital to </w:t>
            </w:r>
            <w:r>
              <w:t>get</w:t>
            </w:r>
            <w:r w:rsidRPr="00DC0522">
              <w:t xml:space="preserve"> value</w: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p>
        </w:tc>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64384" behindDoc="0" locked="0" layoutInCell="1" allowOverlap="1" wp14:anchorId="7AEF6686" wp14:editId="4D3D21D5">
                      <wp:simplePos x="0" y="0"/>
                      <wp:positionH relativeFrom="column">
                        <wp:posOffset>1134745</wp:posOffset>
                      </wp:positionH>
                      <wp:positionV relativeFrom="paragraph">
                        <wp:posOffset>30480</wp:posOffset>
                      </wp:positionV>
                      <wp:extent cx="18288" cy="121920"/>
                      <wp:effectExtent l="19050" t="0" r="39370" b="30480"/>
                      <wp:wrapNone/>
                      <wp:docPr id="10" name="Down Arrow 10"/>
                      <wp:cNvGraphicFramePr/>
                      <a:graphic xmlns:a="http://schemas.openxmlformats.org/drawingml/2006/main">
                        <a:graphicData uri="http://schemas.microsoft.com/office/word/2010/wordprocessingShape">
                          <wps:wsp>
                            <wps:cNvSpPr/>
                            <wps:spPr>
                              <a:xfrm>
                                <a:off x="0" y="0"/>
                                <a:ext cx="18288"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8F6AB" id="Down Arrow 10" o:spid="_x0000_s1026" type="#_x0000_t67" style="position:absolute;margin-left:89.35pt;margin-top:2.4pt;width:1.4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" adj="19980" fillcolor="#4f81bd [3204]" strokecolor="#243f60 [1604]" strokeweight="2pt"/>
                  </w:pict>
                </mc:Fallback>
              </mc:AlternateConten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r>
              <w:t xml:space="preserve">2. </w:t>
            </w:r>
            <w:r w:rsidRPr="00DC0522">
              <w:t xml:space="preserve">Unlever bottom line to </w:t>
            </w:r>
            <w:r>
              <w:t>get</w:t>
            </w:r>
            <w:r w:rsidRPr="00DC0522">
              <w:t xml:space="preserve"> enterprise numbers</w:t>
            </w:r>
          </w:p>
        </w:tc>
        <w:tc>
          <w:tcPr>
            <w:tcW w:w="0" w:type="auto"/>
            <w:shd w:val="clear" w:color="auto" w:fill="auto"/>
          </w:tcPr>
          <w:p w:rsidR="002B5475" w:rsidRPr="00DC0522" w:rsidRDefault="002B5475" w:rsidP="009A49AD">
            <w:pPr>
              <w:pStyle w:val="TableCentered"/>
              <w:keepNext/>
            </w:pPr>
            <w:r>
              <w:t xml:space="preserve">8. </w:t>
            </w:r>
            <w:r w:rsidRPr="00DC0522">
              <w:t xml:space="preserve">Lever the enterprise </w:t>
            </w:r>
            <w:r>
              <w:t>numbers</w:t>
            </w:r>
            <w:r w:rsidRPr="00DC0522">
              <w:t xml:space="preserve"> to </w:t>
            </w:r>
            <w:r>
              <w:t>get</w:t>
            </w:r>
            <w:r w:rsidRPr="00DC0522">
              <w:t xml:space="preserve"> bottom line</w:t>
            </w:r>
          </w:p>
        </w:tc>
      </w:tr>
      <w:tr w:rsidR="002B5475" w:rsidRPr="00DC0522" w:rsidTr="009A49AD">
        <w:trPr>
          <w:cantSplit/>
        </w:trPr>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61312" behindDoc="0" locked="0" layoutInCell="1" allowOverlap="1" wp14:anchorId="3D47CBA9" wp14:editId="065CDFB9">
                      <wp:simplePos x="0" y="0"/>
                      <wp:positionH relativeFrom="column">
                        <wp:posOffset>1360805</wp:posOffset>
                      </wp:positionH>
                      <wp:positionV relativeFrom="paragraph">
                        <wp:posOffset>30480</wp:posOffset>
                      </wp:positionV>
                      <wp:extent cx="18288" cy="121920"/>
                      <wp:effectExtent l="19050" t="19050" r="39370" b="11430"/>
                      <wp:wrapNone/>
                      <wp:docPr id="7" name="Down Arrow 7"/>
                      <wp:cNvGraphicFramePr/>
                      <a:graphic xmlns:a="http://schemas.openxmlformats.org/drawingml/2006/main">
                        <a:graphicData uri="http://schemas.microsoft.com/office/word/2010/wordprocessingShape">
                          <wps:wsp>
                            <wps:cNvSpPr/>
                            <wps:spPr>
                              <a:xfrm flipV="1">
                                <a:off x="0" y="0"/>
                                <a:ext cx="18288"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0529D" id="Down Arrow 7" o:spid="_x0000_s1026" type="#_x0000_t67" style="position:absolute;margin-left:107.15pt;margin-top:2.4pt;width:1.45pt;height:9.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" adj="19980" fillcolor="#4f81bd [3204]" strokecolor="#243f60 [1604]" strokeweight="2pt"/>
                  </w:pict>
                </mc:Fallback>
              </mc:AlternateContent>
            </w:r>
          </w:p>
        </w:tc>
        <w:tc>
          <w:tcPr>
            <w:tcW w:w="0" w:type="auto"/>
            <w:shd w:val="clear" w:color="auto" w:fill="auto"/>
          </w:tcPr>
          <w:p w:rsidR="002B5475" w:rsidRPr="00DC0522" w:rsidRDefault="002B5475" w:rsidP="009A49AD">
            <w:pPr>
              <w:pStyle w:val="TableCentered"/>
              <w:keepNext/>
            </w:pPr>
            <w:r w:rsidRPr="00DC0522">
              <w:rPr>
                <w:noProof/>
              </w:rPr>
              <mc:AlternateContent>
                <mc:Choice Requires="wps">
                  <w:drawing>
                    <wp:anchor distT="0" distB="0" distL="114300" distR="114300" simplePos="0" relativeHeight="251665408" behindDoc="0" locked="0" layoutInCell="1" allowOverlap="1" wp14:anchorId="33FF8111" wp14:editId="6C07403D">
                      <wp:simplePos x="0" y="0"/>
                      <wp:positionH relativeFrom="column">
                        <wp:posOffset>1134745</wp:posOffset>
                      </wp:positionH>
                      <wp:positionV relativeFrom="paragraph">
                        <wp:posOffset>29210</wp:posOffset>
                      </wp:positionV>
                      <wp:extent cx="18288" cy="121920"/>
                      <wp:effectExtent l="19050" t="0" r="39370" b="30480"/>
                      <wp:wrapNone/>
                      <wp:docPr id="11" name="Down Arrow 11"/>
                      <wp:cNvGraphicFramePr/>
                      <a:graphic xmlns:a="http://schemas.openxmlformats.org/drawingml/2006/main">
                        <a:graphicData uri="http://schemas.microsoft.com/office/word/2010/wordprocessingShape">
                          <wps:wsp>
                            <wps:cNvSpPr/>
                            <wps:spPr>
                              <a:xfrm>
                                <a:off x="0" y="0"/>
                                <a:ext cx="18288" cy="121920"/>
                              </a:xfrm>
                              <a:prstGeom prst="downArrow">
                                <a:avLst/>
                              </a:prstGeom>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E5A0" id="Down Arrow 11" o:spid="_x0000_s1026" type="#_x0000_t67" style="position:absolute;margin-left:89.35pt;margin-top:2.3pt;width:1.4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" adj="19980" fillcolor="#4f81bd [3204]" strokecolor="#243f60 [1604]" strokeweight="2pt"/>
                  </w:pict>
                </mc:Fallback>
              </mc:AlternateContent>
            </w:r>
          </w:p>
        </w:tc>
      </w:tr>
      <w:tr w:rsidR="002B5475" w:rsidRPr="00DC0522" w:rsidTr="009A49AD">
        <w:trPr>
          <w:cantSplit/>
        </w:trPr>
        <w:tc>
          <w:tcPr>
            <w:tcW w:w="0" w:type="auto"/>
            <w:shd w:val="clear" w:color="auto" w:fill="auto"/>
          </w:tcPr>
          <w:p w:rsidR="002B5475" w:rsidRPr="00DC0522" w:rsidRDefault="002B5475" w:rsidP="009A49AD">
            <w:pPr>
              <w:pStyle w:val="TableCentered"/>
              <w:ind w:left="720"/>
              <w:jc w:val="both"/>
            </w:pPr>
            <w:r>
              <w:t xml:space="preserve">1. </w:t>
            </w:r>
            <w:r w:rsidRPr="00DC0522">
              <w:t xml:space="preserve">Start </w:t>
            </w:r>
            <w:r>
              <w:t>at</w:t>
            </w:r>
            <w:r w:rsidRPr="00DC0522">
              <w:t xml:space="preserve"> bottom line</w:t>
            </w:r>
            <w:r>
              <w:t>: NI, equity, d</w:t>
            </w:r>
            <w:r w:rsidRPr="00DC0522">
              <w:t>ividends</w:t>
            </w:r>
          </w:p>
        </w:tc>
        <w:tc>
          <w:tcPr>
            <w:tcW w:w="0" w:type="auto"/>
            <w:shd w:val="clear" w:color="auto" w:fill="auto"/>
          </w:tcPr>
          <w:p w:rsidR="002B5475" w:rsidRPr="00DC0522" w:rsidRDefault="002B5475" w:rsidP="009A49AD">
            <w:pPr>
              <w:pStyle w:val="TableCentered"/>
            </w:pPr>
            <w:r>
              <w:t xml:space="preserve">9. </w:t>
            </w:r>
            <w:r w:rsidRPr="00DC0522">
              <w:t>End with bottom line numbers</w:t>
            </w:r>
          </w:p>
        </w:tc>
      </w:tr>
    </w:tbl>
    <w:p w:rsidR="009A7685" w:rsidRDefault="009A7685">
      <w:pPr>
        <w:pStyle w:val="Heading1"/>
      </w:pPr>
      <w:r>
        <w:t>Detailed steps to be read along with the spreadsheet</w:t>
      </w:r>
    </w:p>
    <w:p w:rsidR="009A7685" w:rsidRDefault="009A7685">
      <w:pPr>
        <w:pStyle w:val="Heading2"/>
      </w:pPr>
      <w:r>
        <w:t xml:space="preserve">Enterprise activities: </w:t>
      </w:r>
      <w:r w:rsidR="00E83426">
        <w:t>Forecast</w:t>
      </w:r>
      <w:r w:rsidR="00663AC9">
        <w:t xml:space="preserve"> sales</w:t>
      </w:r>
    </w:p>
    <w:p w:rsidR="009A7685" w:rsidRDefault="009A7685" w:rsidP="00747079">
      <w:pPr>
        <w:pStyle w:val="BodyText"/>
        <w:numPr>
          <w:ilvl w:val="0"/>
          <w:numId w:val="11"/>
        </w:numPr>
      </w:pPr>
      <w:r>
        <w:t>Historical data: Current year sales</w:t>
      </w:r>
    </w:p>
    <w:p w:rsidR="009A7685" w:rsidRDefault="009A7685" w:rsidP="00747079">
      <w:pPr>
        <w:pStyle w:val="BodyText"/>
        <w:numPr>
          <w:ilvl w:val="0"/>
          <w:numId w:val="11"/>
        </w:numPr>
      </w:pPr>
      <w:r>
        <w:t>The income statement starts with current year sales.</w:t>
      </w:r>
    </w:p>
    <w:p w:rsidR="009A7685" w:rsidRDefault="009A7685" w:rsidP="00747079">
      <w:pPr>
        <w:pStyle w:val="BodyText"/>
        <w:numPr>
          <w:ilvl w:val="0"/>
          <w:numId w:val="11"/>
        </w:numPr>
      </w:pPr>
      <w:r>
        <w:t>Forecast: Sales growth</w:t>
      </w:r>
    </w:p>
    <w:p w:rsidR="009A7685" w:rsidRDefault="009A7685" w:rsidP="00747079">
      <w:pPr>
        <w:pStyle w:val="BodyText"/>
        <w:numPr>
          <w:ilvl w:val="0"/>
          <w:numId w:val="11"/>
        </w:numPr>
      </w:pPr>
      <w:r>
        <w:t>Sales = Previous year’s sales * (1 + growth)</w:t>
      </w:r>
    </w:p>
    <w:p w:rsidR="009A7685" w:rsidRDefault="009A7685">
      <w:pPr>
        <w:pStyle w:val="Heading2"/>
      </w:pPr>
      <w:r>
        <w:t xml:space="preserve">Enterprise activities: </w:t>
      </w:r>
      <w:r w:rsidR="00E83426">
        <w:t>Forecast</w:t>
      </w:r>
      <w:r w:rsidR="00BB03B4">
        <w:t xml:space="preserve"> </w:t>
      </w:r>
      <w:r w:rsidR="00E83426">
        <w:t>enterprise profit margin after tax</w:t>
      </w:r>
    </w:p>
    <w:p w:rsidR="009A7685" w:rsidRDefault="007B1D4F" w:rsidP="00747079">
      <w:pPr>
        <w:pStyle w:val="BodyText"/>
        <w:numPr>
          <w:ilvl w:val="0"/>
          <w:numId w:val="11"/>
        </w:numPr>
      </w:pPr>
      <w:r>
        <w:t>Forecast</w:t>
      </w:r>
      <w:r w:rsidR="009A7685">
        <w:t xml:space="preserve">: After-tax </w:t>
      </w:r>
      <w:r>
        <w:t xml:space="preserve">enterprise </w:t>
      </w:r>
      <w:r w:rsidR="009A7685">
        <w:t>profit margin</w:t>
      </w:r>
    </w:p>
    <w:p w:rsidR="009A7685" w:rsidRDefault="007B1D4F" w:rsidP="00747079">
      <w:pPr>
        <w:pStyle w:val="BodyText"/>
        <w:numPr>
          <w:ilvl w:val="0"/>
          <w:numId w:val="11"/>
        </w:numPr>
      </w:pPr>
      <w:smartTag w:uri="urn:schemas-microsoft-com:office:smarttags" w:element="City">
        <w:smartTag w:uri="urn:schemas-microsoft-com:office:smarttags" w:element="place">
          <w:r>
            <w:t>Enterprise</w:t>
          </w:r>
        </w:smartTag>
      </w:smartTag>
      <w:r>
        <w:t xml:space="preserve"> profit after </w:t>
      </w:r>
      <w:r w:rsidR="00E537B7">
        <w:t xml:space="preserve">tax </w:t>
      </w:r>
      <w:r w:rsidR="009A7685">
        <w:t xml:space="preserve">= Sales * After-tax </w:t>
      </w:r>
      <w:r w:rsidR="00DF2497">
        <w:t>enterprise</w:t>
      </w:r>
      <w:r w:rsidR="009A7685">
        <w:t xml:space="preserve"> margin</w:t>
      </w:r>
    </w:p>
    <w:p w:rsidR="009A7685" w:rsidRDefault="009A7685">
      <w:pPr>
        <w:pStyle w:val="Heading2"/>
      </w:pPr>
      <w:r>
        <w:t>Enterprise</w:t>
      </w:r>
      <w:r w:rsidR="00EB7832">
        <w:t xml:space="preserve"> activities: </w:t>
      </w:r>
      <w:r w:rsidR="0088702B">
        <w:t>Forecast</w:t>
      </w:r>
      <w:r w:rsidR="00BB03B4">
        <w:t xml:space="preserve"> </w:t>
      </w:r>
      <w:r>
        <w:t>net enterprise assets</w:t>
      </w:r>
      <w:r w:rsidR="00EB7832">
        <w:t xml:space="preserve"> </w:t>
      </w:r>
      <w:r w:rsidR="0088702B">
        <w:t xml:space="preserve">needed to </w:t>
      </w:r>
      <w:r w:rsidR="00A90330">
        <w:t>sustain</w:t>
      </w:r>
      <w:r w:rsidR="00B453C8">
        <w:t xml:space="preserve"> </w:t>
      </w:r>
      <w:r w:rsidR="00EB7832">
        <w:t>sales</w:t>
      </w:r>
    </w:p>
    <w:p w:rsidR="009A7685" w:rsidRDefault="009A7685" w:rsidP="00747079">
      <w:pPr>
        <w:pStyle w:val="BodyText"/>
        <w:numPr>
          <w:ilvl w:val="0"/>
          <w:numId w:val="11"/>
        </w:numPr>
      </w:pPr>
      <w:r>
        <w:t>Historical data: Net enterprise assets for the current year</w:t>
      </w:r>
    </w:p>
    <w:p w:rsidR="009A7685" w:rsidRDefault="00A21952" w:rsidP="00747079">
      <w:pPr>
        <w:pStyle w:val="BodyText"/>
        <w:numPr>
          <w:ilvl w:val="0"/>
          <w:numId w:val="11"/>
        </w:numPr>
      </w:pPr>
      <w:r>
        <w:t>The balance sheet starts with n</w:t>
      </w:r>
      <w:r w:rsidR="009A7685">
        <w:t>et enterprise assets for the current year.</w:t>
      </w:r>
    </w:p>
    <w:p w:rsidR="009A7685" w:rsidRDefault="009A7685" w:rsidP="00747079">
      <w:pPr>
        <w:pStyle w:val="BodyText"/>
        <w:numPr>
          <w:ilvl w:val="0"/>
          <w:numId w:val="11"/>
        </w:numPr>
      </w:pPr>
      <w:r>
        <w:t xml:space="preserve">Forecast: </w:t>
      </w:r>
      <w:r w:rsidR="00E93BF7">
        <w:t>Ending n</w:t>
      </w:r>
      <w:r>
        <w:t>et enterprise assets are forecasted as a percent of sales.</w:t>
      </w:r>
    </w:p>
    <w:p w:rsidR="009A7685" w:rsidRDefault="007D136A" w:rsidP="00747079">
      <w:pPr>
        <w:pStyle w:val="BodyText"/>
        <w:numPr>
          <w:ilvl w:val="0"/>
          <w:numId w:val="11"/>
        </w:numPr>
      </w:pPr>
      <w:r>
        <w:t>Ending n</w:t>
      </w:r>
      <w:r w:rsidR="009A7685">
        <w:t xml:space="preserve">et enterprise assets = </w:t>
      </w:r>
      <w:r>
        <w:t>Ending n</w:t>
      </w:r>
      <w:r w:rsidR="009A7685">
        <w:t xml:space="preserve">et enterprise assets as % of sales * </w:t>
      </w:r>
      <w:r>
        <w:t>S</w:t>
      </w:r>
      <w:r w:rsidR="009A7685">
        <w:t>ales</w:t>
      </w:r>
    </w:p>
    <w:p w:rsidR="007A36C4" w:rsidRDefault="0088702B" w:rsidP="007A36C4">
      <w:pPr>
        <w:pStyle w:val="BodyText"/>
        <w:numPr>
          <w:ilvl w:val="1"/>
          <w:numId w:val="11"/>
        </w:numPr>
      </w:pPr>
      <w:bookmarkStart w:id="2" w:name="OLE_LINK2"/>
      <w:bookmarkStart w:id="3" w:name="OLE_LINK5"/>
      <w:r>
        <w:t>A</w:t>
      </w:r>
      <w:r w:rsidR="007A36C4">
        <w:t>fter tax ROIC = Enterprise profit margin after tax divided by net enterprise assets as % of sales</w:t>
      </w:r>
    </w:p>
    <w:bookmarkEnd w:id="2"/>
    <w:bookmarkEnd w:id="3"/>
    <w:p w:rsidR="009A7685" w:rsidRDefault="009A7685">
      <w:pPr>
        <w:pStyle w:val="Heading2"/>
      </w:pPr>
      <w:smartTag w:uri="urn:schemas-microsoft-com:office:smarttags" w:element="place">
        <w:smartTag w:uri="urn:schemas-microsoft-com:office:smarttags" w:element="City">
          <w:r>
            <w:t>Enterprise</w:t>
          </w:r>
        </w:smartTag>
      </w:smartTag>
      <w:r>
        <w:t xml:space="preserve"> cash flows</w:t>
      </w:r>
    </w:p>
    <w:p w:rsidR="009A7685" w:rsidRDefault="00A21952" w:rsidP="00747079">
      <w:pPr>
        <w:pStyle w:val="BodyText"/>
        <w:numPr>
          <w:ilvl w:val="0"/>
          <w:numId w:val="11"/>
        </w:numPr>
      </w:pPr>
      <w:r>
        <w:t>S</w:t>
      </w:r>
      <w:r w:rsidR="009A7685">
        <w:t xml:space="preserve">tart with </w:t>
      </w:r>
      <w:r w:rsidR="00E537B7">
        <w:t xml:space="preserve">enterprise profit after tax </w:t>
      </w:r>
      <w:r w:rsidR="009A7685">
        <w:t xml:space="preserve">because enterprise cash flows equal </w:t>
      </w:r>
      <w:r w:rsidR="00E537B7">
        <w:t xml:space="preserve">enterprise profit after tax </w:t>
      </w:r>
      <w:r>
        <w:t xml:space="preserve">if no </w:t>
      </w:r>
      <w:r w:rsidR="009A7685">
        <w:t xml:space="preserve">investment </w:t>
      </w:r>
      <w:r>
        <w:t xml:space="preserve">is </w:t>
      </w:r>
      <w:r w:rsidR="009A7685">
        <w:t>needed in net enterprise assets.</w:t>
      </w:r>
    </w:p>
    <w:p w:rsidR="009A7685" w:rsidRDefault="009A7685" w:rsidP="00747079">
      <w:pPr>
        <w:pStyle w:val="BodyText"/>
        <w:numPr>
          <w:ilvl w:val="0"/>
          <w:numId w:val="11"/>
        </w:numPr>
      </w:pPr>
      <w:r>
        <w:t xml:space="preserve">Subtract the </w:t>
      </w:r>
      <w:r w:rsidR="00A21952">
        <w:t xml:space="preserve">change </w:t>
      </w:r>
      <w:r w:rsidR="0079649B">
        <w:t>in net enterprise assets</w:t>
      </w:r>
    </w:p>
    <w:p w:rsidR="00747079" w:rsidRDefault="009A7685" w:rsidP="00747079">
      <w:pPr>
        <w:pStyle w:val="BodyText"/>
        <w:numPr>
          <w:ilvl w:val="0"/>
          <w:numId w:val="11"/>
        </w:numPr>
      </w:pPr>
      <w:r>
        <w:t>Enterprise</w:t>
      </w:r>
      <w:r w:rsidR="00E537B7">
        <w:t xml:space="preserve"> cash flows = Enterprise profit after tax</w:t>
      </w:r>
      <w:r>
        <w:t xml:space="preserve"> </w:t>
      </w:r>
      <w:r w:rsidR="00D9270B">
        <w:t xml:space="preserve">- </w:t>
      </w:r>
      <w:r>
        <w:t>Change in net enterprise assets</w:t>
      </w:r>
    </w:p>
    <w:p w:rsidR="001641E2" w:rsidRDefault="001641E2" w:rsidP="00747079">
      <w:pPr>
        <w:pStyle w:val="BodyText"/>
        <w:numPr>
          <w:ilvl w:val="1"/>
          <w:numId w:val="11"/>
        </w:numPr>
      </w:pPr>
      <w:r>
        <w:t>Enterprise cash flows do not depend on financial activities such as the level of net financial liabilities and the net financial expense rate.</w:t>
      </w:r>
    </w:p>
    <w:p w:rsidR="004F7E7C" w:rsidRDefault="004F7E7C" w:rsidP="004F7E7C">
      <w:pPr>
        <w:pStyle w:val="Heading2"/>
      </w:pPr>
      <w:r>
        <w:t>Valuation</w:t>
      </w:r>
    </w:p>
    <w:p w:rsidR="004F7E7C" w:rsidRDefault="004F7E7C" w:rsidP="00747079">
      <w:pPr>
        <w:pStyle w:val="BodyText"/>
        <w:numPr>
          <w:ilvl w:val="0"/>
          <w:numId w:val="11"/>
        </w:numPr>
      </w:pPr>
      <w:r>
        <w:t>Start with enterprise cash flows derived earlier.</w:t>
      </w:r>
    </w:p>
    <w:p w:rsidR="004F7E7C" w:rsidRDefault="004F7E7C" w:rsidP="00747079">
      <w:pPr>
        <w:pStyle w:val="BodyText"/>
        <w:numPr>
          <w:ilvl w:val="0"/>
          <w:numId w:val="11"/>
        </w:numPr>
      </w:pPr>
      <w:r>
        <w:t xml:space="preserve">Compute the growth rate in enterprise cash flows. </w:t>
      </w:r>
    </w:p>
    <w:p w:rsidR="004F7E7C" w:rsidRDefault="004F7E7C" w:rsidP="00747079">
      <w:pPr>
        <w:pStyle w:val="BodyText"/>
        <w:numPr>
          <w:ilvl w:val="0"/>
          <w:numId w:val="11"/>
        </w:numPr>
      </w:pPr>
      <w:r>
        <w:t xml:space="preserve">Input: </w:t>
      </w:r>
      <w:smartTag w:uri="urn:schemas-microsoft-com:office:smarttags" w:element="place">
        <w:smartTag w:uri="urn:schemas-microsoft-com:office:smarttags" w:element="City">
          <w:r>
            <w:t>Enterprise</w:t>
          </w:r>
        </w:smartTag>
      </w:smartTag>
      <w:r>
        <w:t xml:space="preserve"> cost of capital </w:t>
      </w:r>
      <w:r w:rsidR="009C7359">
        <w:t>(aka</w:t>
      </w:r>
      <w:r>
        <w:t xml:space="preserve"> </w:t>
      </w:r>
      <w:r w:rsidR="00DA6120">
        <w:t>wacc</w:t>
      </w:r>
      <w:r w:rsidR="009C7359">
        <w:t>) is</w:t>
      </w:r>
      <w:r>
        <w:t xml:space="preserve"> assumed constant for all years. </w:t>
      </w:r>
    </w:p>
    <w:p w:rsidR="004F7E7C" w:rsidRDefault="001C13C0" w:rsidP="00747079">
      <w:pPr>
        <w:pStyle w:val="BodyText"/>
        <w:numPr>
          <w:ilvl w:val="0"/>
          <w:numId w:val="11"/>
        </w:numPr>
      </w:pPr>
      <w:r>
        <w:t xml:space="preserve">Make sure that the enterprise cash flows reach terminal growth before computing terminal value. </w:t>
      </w:r>
      <w:r w:rsidR="004F7E7C">
        <w:t>Terminal value is computed at the end of Year 5 because the enterprise cash flows reach terminal growth only after that year. The formula is C</w:t>
      </w:r>
      <w:r w:rsidR="004F7E7C" w:rsidRPr="00747079">
        <w:rPr>
          <w:vertAlign w:val="subscript"/>
        </w:rPr>
        <w:t>5</w:t>
      </w:r>
      <w:r w:rsidR="004F7E7C">
        <w:t>*(1+g)/(</w:t>
      </w:r>
      <w:r w:rsidR="00DA6120">
        <w:t>wacc</w:t>
      </w:r>
      <w:r w:rsidR="004F7E7C">
        <w:t>-g) or C</w:t>
      </w:r>
      <w:r w:rsidR="004F7E7C" w:rsidRPr="00747079">
        <w:rPr>
          <w:vertAlign w:val="subscript"/>
        </w:rPr>
        <w:t>6</w:t>
      </w:r>
      <w:r w:rsidR="004F7E7C">
        <w:t>/(</w:t>
      </w:r>
      <w:r w:rsidR="00DA6120">
        <w:t>wacc</w:t>
      </w:r>
      <w:r w:rsidR="004F7E7C">
        <w:t xml:space="preserve"> – g).</w:t>
      </w:r>
      <w:r w:rsidR="00770137">
        <w:t xml:space="preserve"> </w:t>
      </w:r>
    </w:p>
    <w:p w:rsidR="004F7E7C" w:rsidRDefault="004F7E7C" w:rsidP="00747079">
      <w:pPr>
        <w:pStyle w:val="BodyText"/>
        <w:numPr>
          <w:ilvl w:val="0"/>
          <w:numId w:val="11"/>
        </w:numPr>
      </w:pPr>
      <w:smartTag w:uri="urn:schemas-microsoft-com:office:smarttags" w:element="place">
        <w:smartTag w:uri="urn:schemas-microsoft-com:office:smarttags" w:element="City">
          <w:r>
            <w:t>Enterprise</w:t>
          </w:r>
        </w:smartTag>
      </w:smartTag>
      <w:r>
        <w:t xml:space="preserve"> value = PV of enterprise cash flows until Year 5 + PV of terminal value</w:t>
      </w:r>
    </w:p>
    <w:p w:rsidR="00A32CF5" w:rsidRDefault="004F7E7C" w:rsidP="00747079">
      <w:pPr>
        <w:pStyle w:val="BodyText"/>
        <w:numPr>
          <w:ilvl w:val="0"/>
          <w:numId w:val="11"/>
        </w:numPr>
      </w:pPr>
      <w:r>
        <w:t xml:space="preserve">Historical data: Initial ending net financial liabilities. </w:t>
      </w:r>
    </w:p>
    <w:p w:rsidR="004F7E7C" w:rsidRDefault="004F7E7C" w:rsidP="00747079">
      <w:pPr>
        <w:pStyle w:val="BodyText"/>
        <w:numPr>
          <w:ilvl w:val="0"/>
          <w:numId w:val="11"/>
        </w:numPr>
      </w:pPr>
      <w:r>
        <w:t>Subtract net financial liabilities.</w:t>
      </w:r>
    </w:p>
    <w:p w:rsidR="004F7E7C" w:rsidRDefault="004F7E7C" w:rsidP="004F7E7C">
      <w:pPr>
        <w:numPr>
          <w:ilvl w:val="0"/>
          <w:numId w:val="11"/>
        </w:numPr>
      </w:pPr>
      <w:r>
        <w:t xml:space="preserve">Equity value = </w:t>
      </w:r>
      <w:smartTag w:uri="urn:schemas-microsoft-com:office:smarttags" w:element="place">
        <w:smartTag w:uri="urn:schemas-microsoft-com:office:smarttags" w:element="City">
          <w:r>
            <w:t>Enterprise</w:t>
          </w:r>
        </w:smartTag>
      </w:smartTag>
      <w:r>
        <w:t xml:space="preserve"> value – Net financial liabilities</w:t>
      </w:r>
    </w:p>
    <w:p w:rsidR="004F7E7C" w:rsidRDefault="004F7E7C" w:rsidP="004F7E7C">
      <w:pPr>
        <w:pStyle w:val="Heading3"/>
      </w:pPr>
      <w:r>
        <w:t xml:space="preserve">Key enterprise valuation ratios </w:t>
      </w:r>
    </w:p>
    <w:p w:rsidR="004F7E7C" w:rsidRDefault="004F7E7C" w:rsidP="00747079">
      <w:pPr>
        <w:pStyle w:val="BodyText"/>
        <w:numPr>
          <w:ilvl w:val="0"/>
          <w:numId w:val="11"/>
        </w:numPr>
      </w:pPr>
      <w:smartTag w:uri="urn:schemas-microsoft-com:office:smarttags" w:element="City">
        <w:smartTag w:uri="urn:schemas-microsoft-com:office:smarttags" w:element="place">
          <w:r>
            <w:t>Enterprise</w:t>
          </w:r>
        </w:smartTag>
      </w:smartTag>
      <w:r>
        <w:t xml:space="preserve"> cash flow yield: Next period enterprise cash flows/Current enterprise value</w:t>
      </w:r>
    </w:p>
    <w:p w:rsidR="004F7E7C" w:rsidRDefault="004F7E7C" w:rsidP="00747079">
      <w:pPr>
        <w:pStyle w:val="BodyText"/>
        <w:numPr>
          <w:ilvl w:val="0"/>
          <w:numId w:val="11"/>
        </w:numPr>
      </w:pPr>
      <w:r>
        <w:t>Price to book ratio: Current enterprise value/Current net enterprise assets</w:t>
      </w:r>
    </w:p>
    <w:p w:rsidR="004F7E7C" w:rsidRDefault="004F7E7C" w:rsidP="00747079">
      <w:pPr>
        <w:pStyle w:val="BodyText"/>
        <w:numPr>
          <w:ilvl w:val="0"/>
          <w:numId w:val="11"/>
        </w:numPr>
      </w:pPr>
      <w:r>
        <w:t>Price to earnings ratio: Current enterprise value/Next period enterprise profit after tax</w:t>
      </w:r>
    </w:p>
    <w:p w:rsidR="009A7685" w:rsidRDefault="00A21952" w:rsidP="00C9303D">
      <w:pPr>
        <w:pStyle w:val="Heading2"/>
      </w:pPr>
      <w:r>
        <w:t xml:space="preserve">Financial activities: </w:t>
      </w:r>
      <w:r w:rsidR="003A2207">
        <w:t>Principal and interest f</w:t>
      </w:r>
      <w:r w:rsidR="00A17BA2">
        <w:t>lows to net financial liabilities</w:t>
      </w:r>
    </w:p>
    <w:p w:rsidR="00A32CF5" w:rsidRDefault="00A32CF5" w:rsidP="00747079">
      <w:pPr>
        <w:pStyle w:val="BodyText"/>
        <w:numPr>
          <w:ilvl w:val="0"/>
          <w:numId w:val="11"/>
        </w:numPr>
      </w:pPr>
      <w:r>
        <w:t>Start the income statement with enterprise profit after tax derived above.</w:t>
      </w:r>
    </w:p>
    <w:p w:rsidR="00A32CF5" w:rsidRDefault="00A32CF5" w:rsidP="00747079">
      <w:pPr>
        <w:pStyle w:val="BodyText"/>
        <w:numPr>
          <w:ilvl w:val="0"/>
          <w:numId w:val="11"/>
        </w:numPr>
      </w:pPr>
      <w:r>
        <w:t>Start the balance sheet with net enterprise assets derived above.</w:t>
      </w:r>
    </w:p>
    <w:p w:rsidR="00A32CF5" w:rsidRDefault="00A32CF5" w:rsidP="00747079">
      <w:pPr>
        <w:pStyle w:val="BodyText"/>
        <w:numPr>
          <w:ilvl w:val="0"/>
          <w:numId w:val="11"/>
        </w:numPr>
      </w:pPr>
      <w:r>
        <w:t>Start the cash flow statement with enterprise cash flows derived above.</w:t>
      </w:r>
    </w:p>
    <w:p w:rsidR="00A32CF5" w:rsidRDefault="00A32CF5" w:rsidP="00747079">
      <w:pPr>
        <w:pStyle w:val="BodyText"/>
        <w:numPr>
          <w:ilvl w:val="0"/>
          <w:numId w:val="11"/>
        </w:numPr>
      </w:pPr>
      <w:r>
        <w:t xml:space="preserve">Net financial liabilities at the end of the current year appear on the balance sheet. </w:t>
      </w:r>
    </w:p>
    <w:p w:rsidR="0002675D" w:rsidRDefault="009A7685" w:rsidP="00747079">
      <w:pPr>
        <w:pStyle w:val="BodyText"/>
        <w:numPr>
          <w:ilvl w:val="0"/>
          <w:numId w:val="11"/>
        </w:numPr>
      </w:pPr>
      <w:r>
        <w:t xml:space="preserve">Forecast: </w:t>
      </w:r>
      <w:r w:rsidR="0002675D">
        <w:t>T</w:t>
      </w:r>
      <w:r>
        <w:t>arget</w:t>
      </w:r>
      <w:r w:rsidR="0002675D">
        <w:t xml:space="preserve"> ratio of </w:t>
      </w:r>
      <w:r w:rsidR="00A21952">
        <w:t>net financial liabilities</w:t>
      </w:r>
      <w:r w:rsidR="0002675D">
        <w:t xml:space="preserve"> to </w:t>
      </w:r>
      <w:r>
        <w:t>net enterprise assets</w:t>
      </w:r>
    </w:p>
    <w:p w:rsidR="009A7685" w:rsidRDefault="0002675D" w:rsidP="00747079">
      <w:pPr>
        <w:pStyle w:val="BodyText"/>
        <w:numPr>
          <w:ilvl w:val="1"/>
          <w:numId w:val="11"/>
        </w:numPr>
      </w:pPr>
      <w:r>
        <w:t>Instead of specifying net financial liabilities to equity ratio, we specify net financial liabilities to net enterprise assets ratio. Specifying the net liabilities to equity ratio leads to messy iterations because equity depends on net interest expense, which depends on net financial liabilities, which, in turn, depend on equity.</w:t>
      </w:r>
    </w:p>
    <w:p w:rsidR="004F55CE" w:rsidRDefault="004F55CE" w:rsidP="00747079">
      <w:pPr>
        <w:pStyle w:val="BodyText"/>
        <w:numPr>
          <w:ilvl w:val="1"/>
          <w:numId w:val="11"/>
        </w:numPr>
      </w:pPr>
      <w:r>
        <w:t>The target ratio of net financial liabilities to net enterprise assets ratio can be negative if the firm intends to hold financial assets in excess of finan</w:t>
      </w:r>
      <w:r w:rsidR="00DB2970">
        <w:t xml:space="preserve">cial liabilities as per its financial </w:t>
      </w:r>
      <w:r>
        <w:t>policy.</w:t>
      </w:r>
    </w:p>
    <w:p w:rsidR="009A7685" w:rsidRDefault="0006002A" w:rsidP="00747079">
      <w:pPr>
        <w:pStyle w:val="BodyText"/>
        <w:numPr>
          <w:ilvl w:val="0"/>
          <w:numId w:val="11"/>
        </w:numPr>
      </w:pPr>
      <w:r>
        <w:t>Forecasted n</w:t>
      </w:r>
      <w:r w:rsidR="00A21952">
        <w:t>et financial liabilities</w:t>
      </w:r>
      <w:r w:rsidR="009A7685">
        <w:t xml:space="preserve"> = (</w:t>
      </w:r>
      <w:r w:rsidR="00A21952">
        <w:t>net financial liabilities</w:t>
      </w:r>
      <w:r w:rsidR="009A7685">
        <w:t>/net enterprise assets) * net enterprise assets</w:t>
      </w:r>
    </w:p>
    <w:p w:rsidR="009A7685" w:rsidRDefault="009A7685" w:rsidP="00747079">
      <w:pPr>
        <w:pStyle w:val="BodyText"/>
        <w:numPr>
          <w:ilvl w:val="0"/>
          <w:numId w:val="11"/>
        </w:numPr>
      </w:pPr>
      <w:r>
        <w:t xml:space="preserve">Forecast: </w:t>
      </w:r>
      <w:r w:rsidR="0072280A">
        <w:t xml:space="preserve">Net </w:t>
      </w:r>
      <w:r w:rsidR="00F9566B">
        <w:t>financial expense</w:t>
      </w:r>
      <w:r w:rsidR="0072280A">
        <w:t xml:space="preserve"> rate, after tax</w:t>
      </w:r>
    </w:p>
    <w:p w:rsidR="009A7685" w:rsidRDefault="00BD6B50" w:rsidP="00747079">
      <w:pPr>
        <w:pStyle w:val="BodyText"/>
        <w:numPr>
          <w:ilvl w:val="0"/>
          <w:numId w:val="11"/>
        </w:numPr>
      </w:pPr>
      <w:r>
        <w:t xml:space="preserve">Net </w:t>
      </w:r>
      <w:r w:rsidR="00F9566B">
        <w:t>financial</w:t>
      </w:r>
      <w:r w:rsidR="0006002A">
        <w:t xml:space="preserve"> expense, after tax = Previous</w:t>
      </w:r>
      <w:r w:rsidR="009A7685">
        <w:t xml:space="preserve"> ending </w:t>
      </w:r>
      <w:r w:rsidR="00A21952">
        <w:t>net financial liabilities</w:t>
      </w:r>
      <w:r w:rsidR="009A7685">
        <w:t xml:space="preserve"> * </w:t>
      </w:r>
      <w:r>
        <w:t xml:space="preserve">net </w:t>
      </w:r>
      <w:r w:rsidR="00F9566B">
        <w:t>financial expense</w:t>
      </w:r>
      <w:r w:rsidR="009A7685">
        <w:t xml:space="preserve"> rate, after tax</w:t>
      </w:r>
    </w:p>
    <w:p w:rsidR="009A7685" w:rsidRDefault="00BD6B50" w:rsidP="00747079">
      <w:pPr>
        <w:pStyle w:val="BodyText"/>
        <w:numPr>
          <w:ilvl w:val="0"/>
          <w:numId w:val="11"/>
        </w:numPr>
      </w:pPr>
      <w:r>
        <w:t xml:space="preserve">Net </w:t>
      </w:r>
      <w:r w:rsidR="00691BDA">
        <w:t>financial expense</w:t>
      </w:r>
      <w:r w:rsidR="009A7685">
        <w:t xml:space="preserve"> payments, after tax = </w:t>
      </w:r>
      <w:r w:rsidR="008A09EE">
        <w:t xml:space="preserve">net </w:t>
      </w:r>
      <w:r w:rsidR="00691BDA">
        <w:t>financial</w:t>
      </w:r>
      <w:r w:rsidR="009A7685">
        <w:t xml:space="preserve"> expense, after tax</w:t>
      </w:r>
    </w:p>
    <w:p w:rsidR="001A4072" w:rsidRDefault="001A4072" w:rsidP="001A4072">
      <w:pPr>
        <w:pStyle w:val="BodyText"/>
        <w:numPr>
          <w:ilvl w:val="0"/>
          <w:numId w:val="11"/>
        </w:numPr>
      </w:pPr>
      <w:r>
        <w:t>Change in net financial liabilities is a financial cash flow.</w:t>
      </w:r>
    </w:p>
    <w:p w:rsidR="009A7685" w:rsidRDefault="009A7685">
      <w:pPr>
        <w:pStyle w:val="Heading2"/>
      </w:pPr>
      <w:r>
        <w:t>Financial activities: Equity flows</w:t>
      </w:r>
    </w:p>
    <w:p w:rsidR="009A7685" w:rsidRDefault="009A7685" w:rsidP="00747079">
      <w:pPr>
        <w:pStyle w:val="BodyText"/>
        <w:numPr>
          <w:ilvl w:val="0"/>
          <w:numId w:val="11"/>
        </w:numPr>
      </w:pPr>
      <w:r>
        <w:t>The remaining cash flow is distributed to shareholders</w:t>
      </w:r>
    </w:p>
    <w:p w:rsidR="000A0E42" w:rsidRDefault="0078687D" w:rsidP="00747079">
      <w:pPr>
        <w:pStyle w:val="BodyText"/>
        <w:numPr>
          <w:ilvl w:val="1"/>
          <w:numId w:val="11"/>
        </w:numPr>
      </w:pPr>
      <w:r>
        <w:t xml:space="preserve">Note that the distributions to shareholders are not a constant percentage of net income. If they </w:t>
      </w:r>
      <w:r w:rsidR="0006002A">
        <w:t>were</w:t>
      </w:r>
      <w:r>
        <w:t xml:space="preserve"> constant, the ratio of net financial liabilities to net enterprise assets will not be constant.</w:t>
      </w:r>
    </w:p>
    <w:p w:rsidR="009A7685" w:rsidRDefault="009A7685" w:rsidP="00747079">
      <w:pPr>
        <w:pStyle w:val="BodyText"/>
        <w:numPr>
          <w:ilvl w:val="0"/>
          <w:numId w:val="11"/>
        </w:numPr>
      </w:pPr>
      <w:r>
        <w:t xml:space="preserve">Net income = </w:t>
      </w:r>
      <w:smartTag w:uri="urn:schemas-microsoft-com:office:smarttags" w:element="City">
        <w:smartTag w:uri="urn:schemas-microsoft-com:office:smarttags" w:element="place">
          <w:r w:rsidR="000A0E42">
            <w:t>Enterprise</w:t>
          </w:r>
        </w:smartTag>
      </w:smartTag>
      <w:r w:rsidR="000A0E42">
        <w:t xml:space="preserve"> profit after tax</w:t>
      </w:r>
      <w:r>
        <w:t xml:space="preserve"> – </w:t>
      </w:r>
      <w:r w:rsidR="000A0E42">
        <w:t xml:space="preserve">Net </w:t>
      </w:r>
      <w:r w:rsidR="00691BDA">
        <w:t>financial</w:t>
      </w:r>
      <w:r>
        <w:t xml:space="preserve"> expense, after tax</w:t>
      </w:r>
    </w:p>
    <w:p w:rsidR="009A7685" w:rsidRDefault="009A7685" w:rsidP="00747079">
      <w:pPr>
        <w:pStyle w:val="BodyText"/>
        <w:numPr>
          <w:ilvl w:val="0"/>
          <w:numId w:val="11"/>
        </w:numPr>
      </w:pPr>
      <w:r>
        <w:t>Historical: Equity at the end of Y0</w:t>
      </w:r>
      <w:r w:rsidR="00691BDA">
        <w:t xml:space="preserve"> </w:t>
      </w:r>
      <w:r>
        <w:t xml:space="preserve">= Net enterprise assets – </w:t>
      </w:r>
      <w:r w:rsidR="00691BDA">
        <w:t>Net financial liabilities</w:t>
      </w:r>
      <w:r>
        <w:t>.</w:t>
      </w:r>
    </w:p>
    <w:p w:rsidR="009A7685" w:rsidRDefault="009A7685" w:rsidP="00747079">
      <w:pPr>
        <w:pStyle w:val="BodyText"/>
        <w:numPr>
          <w:ilvl w:val="0"/>
          <w:numId w:val="11"/>
        </w:numPr>
      </w:pPr>
      <w:r>
        <w:t>Ending equity = Previous ending equity + net income – distributions to shareholders</w:t>
      </w:r>
    </w:p>
    <w:p w:rsidR="009A7685" w:rsidRDefault="009A7685" w:rsidP="00747079">
      <w:pPr>
        <w:pStyle w:val="BodyText"/>
        <w:numPr>
          <w:ilvl w:val="0"/>
          <w:numId w:val="11"/>
        </w:numPr>
      </w:pPr>
      <w:r>
        <w:t>Check A – L – E = 0.</w:t>
      </w:r>
    </w:p>
    <w:p w:rsidR="004F7E7C" w:rsidRDefault="004F7E7C" w:rsidP="004F7E7C">
      <w:pPr>
        <w:pStyle w:val="Heading3"/>
      </w:pPr>
      <w:r>
        <w:t xml:space="preserve">Key valuation ratios </w:t>
      </w:r>
    </w:p>
    <w:p w:rsidR="004F7E7C" w:rsidRDefault="004F7E7C" w:rsidP="00747079">
      <w:pPr>
        <w:pStyle w:val="BodyText"/>
        <w:numPr>
          <w:ilvl w:val="0"/>
          <w:numId w:val="11"/>
        </w:numPr>
      </w:pPr>
      <w:r>
        <w:t>Dividend yield: Next period dividend/Current equity value</w:t>
      </w:r>
    </w:p>
    <w:p w:rsidR="004F7E7C" w:rsidRDefault="004F7E7C" w:rsidP="00747079">
      <w:pPr>
        <w:pStyle w:val="BodyText"/>
        <w:numPr>
          <w:ilvl w:val="0"/>
          <w:numId w:val="11"/>
        </w:numPr>
      </w:pPr>
      <w:r>
        <w:t>Price to book ratio: Current equity value/Current book value</w:t>
      </w:r>
    </w:p>
    <w:p w:rsidR="004F7E7C" w:rsidRDefault="004F7E7C" w:rsidP="00747079">
      <w:pPr>
        <w:pStyle w:val="BodyText"/>
        <w:numPr>
          <w:ilvl w:val="0"/>
          <w:numId w:val="11"/>
        </w:numPr>
      </w:pPr>
      <w:r>
        <w:t>Price to earnings ratio: Current equity value/Next period earnings [a.k.a. forthcoming earnings]</w:t>
      </w:r>
    </w:p>
    <w:p w:rsidR="00996C94" w:rsidRDefault="00996C94" w:rsidP="00996C94">
      <w:pPr>
        <w:pStyle w:val="Heading2"/>
      </w:pPr>
      <w:r>
        <w:t>Inferring cost of equity</w:t>
      </w:r>
    </w:p>
    <w:p w:rsidR="00BC4B06" w:rsidRPr="00BC4B06" w:rsidRDefault="00BC4B06" w:rsidP="00BC4B06">
      <w:pPr>
        <w:pStyle w:val="BodyText"/>
      </w:pPr>
      <w:r>
        <w:t xml:space="preserve">If one used firm’s cost of equity to derive </w:t>
      </w:r>
      <w:r w:rsidR="00DA6120">
        <w:t>wacc</w:t>
      </w:r>
      <w:r>
        <w:t>, then this step is indeed redundant.</w:t>
      </w:r>
      <w:r w:rsidR="00911974">
        <w:t xml:space="preserve"> However, in many instances, we assume that the firm’s </w:t>
      </w:r>
      <w:r w:rsidR="00DA6120">
        <w:t>wacc</w:t>
      </w:r>
      <w:r w:rsidR="00911974">
        <w:t xml:space="preserve"> is the same as its competitors, or we use a subjective estimate of </w:t>
      </w:r>
      <w:r w:rsidR="00DA6120">
        <w:t>wacc</w:t>
      </w:r>
      <w:r w:rsidR="00911974">
        <w:t xml:space="preserve">. In these cases, it is useful to know the cost of equity implied by </w:t>
      </w:r>
      <w:r w:rsidR="00DA6120">
        <w:t>wacc</w:t>
      </w:r>
      <w:r w:rsidR="00911974">
        <w:t xml:space="preserve"> and leverage.</w:t>
      </w:r>
    </w:p>
    <w:p w:rsidR="005D05F1" w:rsidRDefault="005D05F1" w:rsidP="00747079">
      <w:pPr>
        <w:pStyle w:val="BodyText"/>
        <w:numPr>
          <w:ilvl w:val="0"/>
          <w:numId w:val="11"/>
        </w:numPr>
      </w:pPr>
      <w:r>
        <w:t>See the equation for cost of equity (r</w:t>
      </w:r>
      <w:r w:rsidRPr="005D05F1">
        <w:rPr>
          <w:vertAlign w:val="subscript"/>
        </w:rPr>
        <w:t>e</w:t>
      </w:r>
      <w:r>
        <w:t>) specified earlier.</w:t>
      </w:r>
    </w:p>
    <w:p w:rsidR="00165C69" w:rsidRDefault="00F561B1" w:rsidP="00747079">
      <w:pPr>
        <w:pStyle w:val="BodyText"/>
        <w:numPr>
          <w:ilvl w:val="1"/>
          <w:numId w:val="11"/>
        </w:numPr>
      </w:pPr>
      <w:r>
        <w:t>r</w:t>
      </w:r>
      <w:r w:rsidRPr="00F561B1">
        <w:rPr>
          <w:vertAlign w:val="subscript"/>
        </w:rPr>
        <w:t>e</w:t>
      </w:r>
      <w:r w:rsidR="00165C69">
        <w:t xml:space="preserve"> generally </w:t>
      </w:r>
      <w:r>
        <w:t>varies across time if leverage based on market values changes. Even if NFL/book value of equity is kept constant, as is the case in this model, the ratio of NFL to market value of equity changes over time. Thus, r</w:t>
      </w:r>
      <w:r w:rsidRPr="00F561B1">
        <w:rPr>
          <w:vertAlign w:val="subscript"/>
        </w:rPr>
        <w:t>e</w:t>
      </w:r>
      <w:r>
        <w:t xml:space="preserve"> varies </w:t>
      </w:r>
      <w:r w:rsidR="004133DC">
        <w:t>across time.</w:t>
      </w:r>
    </w:p>
    <w:p w:rsidR="004133DC" w:rsidRDefault="0035469B" w:rsidP="00747079">
      <w:pPr>
        <w:pStyle w:val="BodyText"/>
        <w:numPr>
          <w:ilvl w:val="1"/>
          <w:numId w:val="11"/>
        </w:numPr>
      </w:pPr>
      <w:r>
        <w:t xml:space="preserve">Therefore, you cannot discount distributions to shareholders at the </w:t>
      </w:r>
      <w:r w:rsidR="00DE567C">
        <w:t xml:space="preserve">current </w:t>
      </w:r>
      <w:r w:rsidR="00CB50D1">
        <w:t>r</w:t>
      </w:r>
      <w:r w:rsidR="00CB50D1" w:rsidRPr="00CB50D1">
        <w:rPr>
          <w:vertAlign w:val="subscript"/>
        </w:rPr>
        <w:t>e</w:t>
      </w:r>
      <w:r>
        <w:t xml:space="preserve"> </w:t>
      </w:r>
      <w:r w:rsidR="00F84B0F">
        <w:t xml:space="preserve">to </w:t>
      </w:r>
      <w:r>
        <w:t xml:space="preserve">derive the </w:t>
      </w:r>
      <w:r w:rsidR="00DE567C">
        <w:t xml:space="preserve">current </w:t>
      </w:r>
      <w:r>
        <w:t>equity value.</w:t>
      </w:r>
    </w:p>
    <w:p w:rsidR="00374428" w:rsidRDefault="005F0EE0" w:rsidP="00374428">
      <w:pPr>
        <w:pStyle w:val="Heading1"/>
      </w:pPr>
      <w:r>
        <w:t>Q</w:t>
      </w:r>
      <w:r w:rsidR="00374428">
        <w:t>uestions addressed by the spreadsheet</w:t>
      </w:r>
      <w:r>
        <w:t>: Summary</w:t>
      </w:r>
    </w:p>
    <w:p w:rsidR="00374428" w:rsidRDefault="00374428" w:rsidP="00374428">
      <w:pPr>
        <w:pStyle w:val="BodyText"/>
      </w:pPr>
      <w:r>
        <w:t>Equity analysis rests on understanding the implications of enterprise cash flows forecasted. To that effect, the spreadsheet concerns the following questions.</w:t>
      </w:r>
    </w:p>
    <w:p w:rsidR="00374428" w:rsidRDefault="00374428" w:rsidP="0005502A">
      <w:pPr>
        <w:pStyle w:val="BodyText"/>
        <w:numPr>
          <w:ilvl w:val="0"/>
          <w:numId w:val="35"/>
        </w:numPr>
      </w:pPr>
      <w:r>
        <w:t xml:space="preserve">How do the forecasted enterprise drivers differ from </w:t>
      </w:r>
      <w:r w:rsidR="00655063">
        <w:t xml:space="preserve">those computed in the past in </w:t>
      </w:r>
      <w:r>
        <w:t xml:space="preserve">FSA1 </w:t>
      </w:r>
      <w:r w:rsidR="00655063">
        <w:t>and FSA2?</w:t>
      </w:r>
    </w:p>
    <w:p w:rsidR="00374428" w:rsidRDefault="00655063" w:rsidP="0005502A">
      <w:pPr>
        <w:pStyle w:val="BodyText"/>
        <w:numPr>
          <w:ilvl w:val="0"/>
          <w:numId w:val="35"/>
        </w:numPr>
      </w:pPr>
      <w:r>
        <w:t xml:space="preserve">How do your forecasts differ from those </w:t>
      </w:r>
      <w:r w:rsidR="00432E83">
        <w:t>available from the</w:t>
      </w:r>
      <w:r>
        <w:t xml:space="preserve"> analysts? </w:t>
      </w:r>
      <w:r w:rsidR="00432E83">
        <w:t>Analysts usually provide forecasts of sale</w:t>
      </w:r>
      <w:r w:rsidR="005F75B1">
        <w:t>s</w:t>
      </w:r>
      <w:r w:rsidR="00432E83">
        <w:t xml:space="preserve"> and net income.</w:t>
      </w:r>
    </w:p>
    <w:p w:rsidR="00432E83" w:rsidRDefault="00432E83" w:rsidP="0005502A">
      <w:pPr>
        <w:pStyle w:val="BodyText"/>
        <w:numPr>
          <w:ilvl w:val="0"/>
          <w:numId w:val="35"/>
        </w:numPr>
      </w:pPr>
      <w:r>
        <w:t xml:space="preserve">How does the estimated forward P/E differ from the actual forward P/E? Forward P/E depends primarily on the difference between wacc and growth beyond the horizon. </w:t>
      </w:r>
    </w:p>
    <w:p w:rsidR="00A779AE" w:rsidRDefault="00655063" w:rsidP="0005502A">
      <w:pPr>
        <w:pStyle w:val="BodyText"/>
        <w:numPr>
          <w:ilvl w:val="0"/>
          <w:numId w:val="35"/>
        </w:numPr>
      </w:pPr>
      <w:r>
        <w:t>How do the differences between your forecasts and analyst forecasts explain the difference between your estimate of value and market value? Which differences matter the most?</w:t>
      </w:r>
    </w:p>
    <w:p w:rsidR="007B7DEB" w:rsidRDefault="00655063" w:rsidP="0005502A">
      <w:pPr>
        <w:pStyle w:val="BodyText"/>
        <w:numPr>
          <w:ilvl w:val="0"/>
          <w:numId w:val="35"/>
        </w:numPr>
      </w:pPr>
      <w:r>
        <w:t>A</w:t>
      </w:r>
      <w:r w:rsidR="00374428">
        <w:t xml:space="preserve">re the conclusions sensitive to the forecasts </w:t>
      </w:r>
      <w:r w:rsidR="00A779AE">
        <w:t>of</w:t>
      </w:r>
      <w:r w:rsidR="00374428">
        <w:t xml:space="preserve"> financial activities?</w:t>
      </w:r>
    </w:p>
    <w:sectPr w:rsidR="007B7DE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22" w:rsidRDefault="00824A22">
      <w:r>
        <w:separator/>
      </w:r>
    </w:p>
  </w:endnote>
  <w:endnote w:type="continuationSeparator" w:id="0">
    <w:p w:rsidR="00824A22" w:rsidRDefault="0082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16" w:rsidRDefault="00FD4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AE5">
      <w:rPr>
        <w:rStyle w:val="PageNumber"/>
        <w:noProof/>
      </w:rPr>
      <w:t>3</w:t>
    </w:r>
    <w:r>
      <w:rPr>
        <w:rStyle w:val="PageNumber"/>
      </w:rPr>
      <w:fldChar w:fldCharType="end"/>
    </w:r>
  </w:p>
  <w:p w:rsidR="00FD4616" w:rsidRDefault="00FD4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16" w:rsidRPr="00C406F4" w:rsidRDefault="00FD4616" w:rsidP="00CF766B">
    <w:pPr>
      <w:pStyle w:val="Footer"/>
      <w:tabs>
        <w:tab w:val="clear" w:pos="4320"/>
      </w:tabs>
    </w:pPr>
    <w:r>
      <w:fldChar w:fldCharType="begin"/>
    </w:r>
    <w:r>
      <w:instrText xml:space="preserve"> DATE \@ "MMMM d, yyyy" </w:instrText>
    </w:r>
    <w:r>
      <w:fldChar w:fldCharType="separate"/>
    </w:r>
    <w:r w:rsidR="00421003">
      <w:rPr>
        <w:noProof/>
      </w:rPr>
      <w:t>September 3, 2016</w:t>
    </w:r>
    <w:r>
      <w:fldChar w:fldCharType="end"/>
    </w:r>
    <w:r>
      <w:t xml:space="preserve"> Visit </w:t>
    </w:r>
    <w:hyperlink r:id="rId1" w:history="1">
      <w:r w:rsidRPr="00744C6D">
        <w:rPr>
          <w:rStyle w:val="Hyperlink"/>
        </w:rPr>
        <w:t>http://www.godeohlson.com/</w:t>
      </w:r>
    </w:hyperlink>
    <w:r>
      <w:t xml:space="preserve"> for updates.</w:t>
    </w:r>
    <w:r>
      <w:tab/>
    </w:r>
    <w:r>
      <w:fldChar w:fldCharType="begin"/>
    </w:r>
    <w:r>
      <w:instrText xml:space="preserve"> PAGE </w:instrText>
    </w:r>
    <w:r>
      <w:fldChar w:fldCharType="separate"/>
    </w:r>
    <w:r w:rsidR="004210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22" w:rsidRDefault="00824A22">
      <w:r>
        <w:separator/>
      </w:r>
    </w:p>
  </w:footnote>
  <w:footnote w:type="continuationSeparator" w:id="0">
    <w:p w:rsidR="00824A22" w:rsidRDefault="0082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16" w:rsidRDefault="00FD4616" w:rsidP="00431BAD">
    <w:pPr>
      <w:pStyle w:val="Header"/>
      <w:tabs>
        <w:tab w:val="clear" w:pos="4320"/>
      </w:tabs>
    </w:pPr>
    <w:bookmarkStart w:id="4" w:name="OLE_LINK3"/>
    <w:bookmarkStart w:id="5" w:name="OLE_LINK4"/>
    <w:r>
      <w:t xml:space="preserve">Forecasting and Valuation of </w:t>
    </w:r>
    <w:smartTag w:uri="urn:schemas-microsoft-com:office:smarttags" w:element="place">
      <w:smartTag w:uri="urn:schemas-microsoft-com:office:smarttags" w:element="City">
        <w:r>
          <w:t>Enterprise</w:t>
        </w:r>
      </w:smartTag>
    </w:smartTag>
    <w:r>
      <w:t xml:space="preserve"> Cash Flows</w:t>
    </w:r>
    <w:bookmarkEnd w:id="4"/>
    <w:bookmarkEnd w:id="5"/>
    <w:r>
      <w:tab/>
    </w:r>
    <w:r>
      <w:rPr>
        <w:rStyle w:val="PageNumber"/>
      </w:rPr>
      <w:fldChar w:fldCharType="begin"/>
    </w:r>
    <w:r>
      <w:rPr>
        <w:rStyle w:val="PageNumber"/>
      </w:rPr>
      <w:instrText xml:space="preserve"> PAGE </w:instrText>
    </w:r>
    <w:r>
      <w:rPr>
        <w:rStyle w:val="PageNumber"/>
      </w:rPr>
      <w:fldChar w:fldCharType="separate"/>
    </w:r>
    <w:r w:rsidR="00421003">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F5F"/>
    <w:multiLevelType w:val="multilevel"/>
    <w:tmpl w:val="E30E3590"/>
    <w:numStyleLink w:val="ListOutlineNumbered"/>
  </w:abstractNum>
  <w:abstractNum w:abstractNumId="1"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076A152C"/>
    <w:multiLevelType w:val="multilevel"/>
    <w:tmpl w:val="E30E3590"/>
    <w:numStyleLink w:val="ListOutlineNumbered"/>
  </w:abstractNum>
  <w:abstractNum w:abstractNumId="3" w15:restartNumberingAfterBreak="0">
    <w:nsid w:val="0C2D5B03"/>
    <w:multiLevelType w:val="multilevel"/>
    <w:tmpl w:val="29529492"/>
    <w:numStyleLink w:val="ListBulleted"/>
  </w:abstractNum>
  <w:abstractNum w:abstractNumId="4" w15:restartNumberingAfterBreak="0">
    <w:nsid w:val="0CA01180"/>
    <w:multiLevelType w:val="multilevel"/>
    <w:tmpl w:val="29529492"/>
    <w:numStyleLink w:val="ListBulleted"/>
  </w:abstractNum>
  <w:abstractNum w:abstractNumId="5" w15:restartNumberingAfterBreak="0">
    <w:nsid w:val="128232E1"/>
    <w:multiLevelType w:val="hybridMultilevel"/>
    <w:tmpl w:val="7798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7" w15:restartNumberingAfterBreak="0">
    <w:nsid w:val="1A9A2F8F"/>
    <w:multiLevelType w:val="multilevel"/>
    <w:tmpl w:val="29529492"/>
    <w:numStyleLink w:val="ListBulleted"/>
  </w:abstractNum>
  <w:abstractNum w:abstractNumId="8"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84263"/>
    <w:multiLevelType w:val="multilevel"/>
    <w:tmpl w:val="9A4CBF2E"/>
    <w:styleLink w:val="ListOutlineChar"/>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FC2CBE"/>
    <w:multiLevelType w:val="multilevel"/>
    <w:tmpl w:val="E30E3590"/>
    <w:numStyleLink w:val="ListOutlineNumbered"/>
  </w:abstractNum>
  <w:abstractNum w:abstractNumId="12" w15:restartNumberingAfterBreak="0">
    <w:nsid w:val="2E220B66"/>
    <w:multiLevelType w:val="multilevel"/>
    <w:tmpl w:val="29529492"/>
    <w:numStyleLink w:val="ListBulleted"/>
  </w:abstractNum>
  <w:abstractNum w:abstractNumId="13"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4"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17" w15:restartNumberingAfterBreak="0">
    <w:nsid w:val="455D4922"/>
    <w:multiLevelType w:val="multilevel"/>
    <w:tmpl w:val="29529492"/>
    <w:numStyleLink w:val="ListBulleted"/>
  </w:abstractNum>
  <w:abstractNum w:abstractNumId="18" w15:restartNumberingAfterBreak="0">
    <w:nsid w:val="47705053"/>
    <w:multiLevelType w:val="multilevel"/>
    <w:tmpl w:val="0BDE7F6A"/>
    <w:numStyleLink w:val="StyleOutlinenumbered"/>
  </w:abstractNum>
  <w:abstractNum w:abstractNumId="19" w15:restartNumberingAfterBreak="0">
    <w:nsid w:val="52501E0F"/>
    <w:multiLevelType w:val="hybridMultilevel"/>
    <w:tmpl w:val="2B7EE8FC"/>
    <w:lvl w:ilvl="0" w:tplc="1438FA98">
      <w:start w:val="1"/>
      <w:numFmt w:val="lowerRoman"/>
      <w:lvlText w:val="(%1)"/>
      <w:lvlJc w:val="left"/>
      <w:pPr>
        <w:tabs>
          <w:tab w:val="num" w:pos="2250"/>
        </w:tabs>
        <w:ind w:left="2250" w:hanging="108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0" w15:restartNumberingAfterBreak="0">
    <w:nsid w:val="5397050E"/>
    <w:multiLevelType w:val="multilevel"/>
    <w:tmpl w:val="29529492"/>
    <w:numStyleLink w:val="ListBulleted"/>
  </w:abstractNum>
  <w:abstractNum w:abstractNumId="21"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3D7305"/>
    <w:multiLevelType w:val="multilevel"/>
    <w:tmpl w:val="0BDE7F6A"/>
    <w:numStyleLink w:val="StyleOutlinenumbered"/>
  </w:abstractNum>
  <w:abstractNum w:abstractNumId="23" w15:restartNumberingAfterBreak="0">
    <w:nsid w:val="598A3D4F"/>
    <w:multiLevelType w:val="multilevel"/>
    <w:tmpl w:val="0BDE7F6A"/>
    <w:numStyleLink w:val="StyleOutlinenumbered"/>
  </w:abstractNum>
  <w:abstractNum w:abstractNumId="24" w15:restartNumberingAfterBreak="0">
    <w:nsid w:val="5EF9308D"/>
    <w:multiLevelType w:val="hybridMultilevel"/>
    <w:tmpl w:val="161A6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26" w15:restartNumberingAfterBreak="0">
    <w:nsid w:val="623250C6"/>
    <w:multiLevelType w:val="multilevel"/>
    <w:tmpl w:val="E30E3590"/>
    <w:numStyleLink w:val="ListOutlineNumbered"/>
  </w:abstractNum>
  <w:abstractNum w:abstractNumId="27"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1A4115"/>
    <w:multiLevelType w:val="hybridMultilevel"/>
    <w:tmpl w:val="FB269FB8"/>
    <w:lvl w:ilvl="0" w:tplc="DBFA873E">
      <w:start w:val="1"/>
      <w:numFmt w:val="lowerRoman"/>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8A13CEF"/>
    <w:multiLevelType w:val="hybridMultilevel"/>
    <w:tmpl w:val="1BEC7F46"/>
    <w:lvl w:ilvl="0" w:tplc="5FD602AE">
      <w:start w:val="1"/>
      <w:numFmt w:val="lowerRoman"/>
      <w:lvlText w:val="(%1)"/>
      <w:lvlJc w:val="left"/>
      <w:pPr>
        <w:tabs>
          <w:tab w:val="num" w:pos="2235"/>
        </w:tabs>
        <w:ind w:left="2235" w:hanging="115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32"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8A35D45"/>
    <w:multiLevelType w:val="multilevel"/>
    <w:tmpl w:val="0BDE7F6A"/>
    <w:numStyleLink w:val="StyleOutlinenumbered"/>
  </w:abstractNum>
  <w:abstractNum w:abstractNumId="35"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2"/>
  </w:num>
  <w:num w:numId="2">
    <w:abstractNumId w:val="29"/>
  </w:num>
  <w:num w:numId="3">
    <w:abstractNumId w:val="31"/>
  </w:num>
  <w:num w:numId="4">
    <w:abstractNumId w:val="16"/>
  </w:num>
  <w:num w:numId="5">
    <w:abstractNumId w:val="9"/>
  </w:num>
  <w:num w:numId="6">
    <w:abstractNumId w:val="14"/>
  </w:num>
  <w:num w:numId="7">
    <w:abstractNumId w:val="8"/>
  </w:num>
  <w:num w:numId="8">
    <w:abstractNumId w:val="15"/>
  </w:num>
  <w:num w:numId="9">
    <w:abstractNumId w:val="27"/>
  </w:num>
  <w:num w:numId="10">
    <w:abstractNumId w:val="33"/>
  </w:num>
  <w:num w:numId="11">
    <w:abstractNumId w:val="11"/>
  </w:num>
  <w:num w:numId="12">
    <w:abstractNumId w:val="20"/>
  </w:num>
  <w:num w:numId="13">
    <w:abstractNumId w:val="19"/>
  </w:num>
  <w:num w:numId="14">
    <w:abstractNumId w:val="30"/>
  </w:num>
  <w:num w:numId="15">
    <w:abstractNumId w:val="28"/>
  </w:num>
  <w:num w:numId="16">
    <w:abstractNumId w:val="12"/>
  </w:num>
  <w:num w:numId="17">
    <w:abstractNumId w:val="0"/>
  </w:num>
  <w:num w:numId="18">
    <w:abstractNumId w:val="24"/>
  </w:num>
  <w:num w:numId="19">
    <w:abstractNumId w:val="26"/>
  </w:num>
  <w:num w:numId="20">
    <w:abstractNumId w:val="4"/>
  </w:num>
  <w:num w:numId="21">
    <w:abstractNumId w:val="7"/>
  </w:num>
  <w:num w:numId="22">
    <w:abstractNumId w:val="3"/>
  </w:num>
  <w:num w:numId="23">
    <w:abstractNumId w:val="1"/>
  </w:num>
  <w:num w:numId="24">
    <w:abstractNumId w:val="6"/>
  </w:num>
  <w:num w:numId="25">
    <w:abstractNumId w:val="10"/>
  </w:num>
  <w:num w:numId="26">
    <w:abstractNumId w:val="25"/>
  </w:num>
  <w:num w:numId="27">
    <w:abstractNumId w:val="18"/>
  </w:num>
  <w:num w:numId="28">
    <w:abstractNumId w:val="13"/>
  </w:num>
  <w:num w:numId="29">
    <w:abstractNumId w:val="34"/>
  </w:num>
  <w:num w:numId="30">
    <w:abstractNumId w:val="22"/>
  </w:num>
  <w:num w:numId="31">
    <w:abstractNumId w:val="23"/>
  </w:num>
  <w:num w:numId="32">
    <w:abstractNumId w:val="35"/>
  </w:num>
  <w:num w:numId="33">
    <w:abstractNumId w:val="21"/>
  </w:num>
  <w:num w:numId="34">
    <w:abstractNumId w:val="5"/>
  </w:num>
  <w:num w:numId="35">
    <w:abstractNumId w:val="2"/>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ccecff"/>
    </o:shapedefaults>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15"/>
    <w:rsid w:val="00006203"/>
    <w:rsid w:val="000077C1"/>
    <w:rsid w:val="00012537"/>
    <w:rsid w:val="000125B2"/>
    <w:rsid w:val="0002675D"/>
    <w:rsid w:val="000352C9"/>
    <w:rsid w:val="00042B71"/>
    <w:rsid w:val="0004405B"/>
    <w:rsid w:val="000449BB"/>
    <w:rsid w:val="000512B0"/>
    <w:rsid w:val="00051C7F"/>
    <w:rsid w:val="0005502A"/>
    <w:rsid w:val="0006002A"/>
    <w:rsid w:val="0006145D"/>
    <w:rsid w:val="00066E2A"/>
    <w:rsid w:val="000700C0"/>
    <w:rsid w:val="0007290F"/>
    <w:rsid w:val="0007355C"/>
    <w:rsid w:val="000747CB"/>
    <w:rsid w:val="000841D9"/>
    <w:rsid w:val="000932BC"/>
    <w:rsid w:val="00093CF5"/>
    <w:rsid w:val="000A0E42"/>
    <w:rsid w:val="000A3018"/>
    <w:rsid w:val="000A6C75"/>
    <w:rsid w:val="000B2098"/>
    <w:rsid w:val="000C7A8C"/>
    <w:rsid w:val="000D0D37"/>
    <w:rsid w:val="000D16C5"/>
    <w:rsid w:val="000D51C1"/>
    <w:rsid w:val="000D6D45"/>
    <w:rsid w:val="000E6940"/>
    <w:rsid w:val="000F027E"/>
    <w:rsid w:val="000F1E44"/>
    <w:rsid w:val="000F4D49"/>
    <w:rsid w:val="001030F3"/>
    <w:rsid w:val="0012292F"/>
    <w:rsid w:val="00124BE6"/>
    <w:rsid w:val="0014343C"/>
    <w:rsid w:val="00150CB0"/>
    <w:rsid w:val="00156380"/>
    <w:rsid w:val="001566BD"/>
    <w:rsid w:val="001641E2"/>
    <w:rsid w:val="00165C69"/>
    <w:rsid w:val="001715E2"/>
    <w:rsid w:val="00174C50"/>
    <w:rsid w:val="001772C3"/>
    <w:rsid w:val="0018174A"/>
    <w:rsid w:val="001851E3"/>
    <w:rsid w:val="001923A8"/>
    <w:rsid w:val="00193AEE"/>
    <w:rsid w:val="001A4072"/>
    <w:rsid w:val="001A42B3"/>
    <w:rsid w:val="001B308C"/>
    <w:rsid w:val="001B7DAB"/>
    <w:rsid w:val="001C13C0"/>
    <w:rsid w:val="001D0972"/>
    <w:rsid w:val="001D5CC9"/>
    <w:rsid w:val="001D73E4"/>
    <w:rsid w:val="001E7E9F"/>
    <w:rsid w:val="001F172F"/>
    <w:rsid w:val="0020132D"/>
    <w:rsid w:val="002069F6"/>
    <w:rsid w:val="00215403"/>
    <w:rsid w:val="00221CA4"/>
    <w:rsid w:val="00223424"/>
    <w:rsid w:val="00223AE7"/>
    <w:rsid w:val="00225536"/>
    <w:rsid w:val="002278F8"/>
    <w:rsid w:val="00233500"/>
    <w:rsid w:val="00233D74"/>
    <w:rsid w:val="00236C30"/>
    <w:rsid w:val="00241115"/>
    <w:rsid w:val="002413C8"/>
    <w:rsid w:val="00244507"/>
    <w:rsid w:val="002449D4"/>
    <w:rsid w:val="00262405"/>
    <w:rsid w:val="00262DDD"/>
    <w:rsid w:val="002737F7"/>
    <w:rsid w:val="00280794"/>
    <w:rsid w:val="00284149"/>
    <w:rsid w:val="0028478D"/>
    <w:rsid w:val="00292B79"/>
    <w:rsid w:val="002B5475"/>
    <w:rsid w:val="002C4C18"/>
    <w:rsid w:val="002D7647"/>
    <w:rsid w:val="002F210A"/>
    <w:rsid w:val="002F3B96"/>
    <w:rsid w:val="002F3D42"/>
    <w:rsid w:val="002F6E0B"/>
    <w:rsid w:val="00306402"/>
    <w:rsid w:val="00306DD6"/>
    <w:rsid w:val="00310EEF"/>
    <w:rsid w:val="0031103C"/>
    <w:rsid w:val="00320316"/>
    <w:rsid w:val="00324928"/>
    <w:rsid w:val="00332412"/>
    <w:rsid w:val="003353B7"/>
    <w:rsid w:val="003400B4"/>
    <w:rsid w:val="00342F0C"/>
    <w:rsid w:val="00345E02"/>
    <w:rsid w:val="0034784E"/>
    <w:rsid w:val="0035469B"/>
    <w:rsid w:val="00361CAA"/>
    <w:rsid w:val="003642EE"/>
    <w:rsid w:val="00374428"/>
    <w:rsid w:val="00376CB2"/>
    <w:rsid w:val="00392344"/>
    <w:rsid w:val="003954F1"/>
    <w:rsid w:val="003A2207"/>
    <w:rsid w:val="003A6C5C"/>
    <w:rsid w:val="003B14DC"/>
    <w:rsid w:val="003B3B62"/>
    <w:rsid w:val="003B575B"/>
    <w:rsid w:val="003C347D"/>
    <w:rsid w:val="003C5015"/>
    <w:rsid w:val="003C7F93"/>
    <w:rsid w:val="003D069A"/>
    <w:rsid w:val="003E118F"/>
    <w:rsid w:val="003E625F"/>
    <w:rsid w:val="003F335C"/>
    <w:rsid w:val="003F5672"/>
    <w:rsid w:val="004002A8"/>
    <w:rsid w:val="00401BDE"/>
    <w:rsid w:val="00407759"/>
    <w:rsid w:val="00410FF2"/>
    <w:rsid w:val="004133DC"/>
    <w:rsid w:val="00420856"/>
    <w:rsid w:val="00421003"/>
    <w:rsid w:val="0042257E"/>
    <w:rsid w:val="00423B73"/>
    <w:rsid w:val="00423CF7"/>
    <w:rsid w:val="00431BAD"/>
    <w:rsid w:val="00432E83"/>
    <w:rsid w:val="004368C4"/>
    <w:rsid w:val="00450BC3"/>
    <w:rsid w:val="00457D08"/>
    <w:rsid w:val="00460DB8"/>
    <w:rsid w:val="00460F91"/>
    <w:rsid w:val="00474F8C"/>
    <w:rsid w:val="00484233"/>
    <w:rsid w:val="00487376"/>
    <w:rsid w:val="00487B3E"/>
    <w:rsid w:val="0049704F"/>
    <w:rsid w:val="004A128F"/>
    <w:rsid w:val="004B10B8"/>
    <w:rsid w:val="004B6501"/>
    <w:rsid w:val="004B693B"/>
    <w:rsid w:val="004C2289"/>
    <w:rsid w:val="004D635E"/>
    <w:rsid w:val="004E1377"/>
    <w:rsid w:val="004F55CE"/>
    <w:rsid w:val="004F7E7C"/>
    <w:rsid w:val="0050112E"/>
    <w:rsid w:val="00505C92"/>
    <w:rsid w:val="00514ECA"/>
    <w:rsid w:val="00522BB1"/>
    <w:rsid w:val="00531E72"/>
    <w:rsid w:val="005326B2"/>
    <w:rsid w:val="00533A3C"/>
    <w:rsid w:val="00544A73"/>
    <w:rsid w:val="00547640"/>
    <w:rsid w:val="00550A69"/>
    <w:rsid w:val="00561588"/>
    <w:rsid w:val="0056197B"/>
    <w:rsid w:val="0056386F"/>
    <w:rsid w:val="00576205"/>
    <w:rsid w:val="0058335E"/>
    <w:rsid w:val="00586693"/>
    <w:rsid w:val="005A219B"/>
    <w:rsid w:val="005A515B"/>
    <w:rsid w:val="005B0EA7"/>
    <w:rsid w:val="005B1DFE"/>
    <w:rsid w:val="005B5DDB"/>
    <w:rsid w:val="005C2116"/>
    <w:rsid w:val="005C290A"/>
    <w:rsid w:val="005D05F1"/>
    <w:rsid w:val="005E6180"/>
    <w:rsid w:val="005E6AEA"/>
    <w:rsid w:val="005F0EE0"/>
    <w:rsid w:val="005F75B1"/>
    <w:rsid w:val="006001EF"/>
    <w:rsid w:val="00603400"/>
    <w:rsid w:val="0060466A"/>
    <w:rsid w:val="00604B37"/>
    <w:rsid w:val="00605509"/>
    <w:rsid w:val="006057A6"/>
    <w:rsid w:val="00606B72"/>
    <w:rsid w:val="00610833"/>
    <w:rsid w:val="00612B68"/>
    <w:rsid w:val="00620EA3"/>
    <w:rsid w:val="00621F90"/>
    <w:rsid w:val="006258C7"/>
    <w:rsid w:val="00643508"/>
    <w:rsid w:val="006440F7"/>
    <w:rsid w:val="00645A21"/>
    <w:rsid w:val="00655063"/>
    <w:rsid w:val="00656119"/>
    <w:rsid w:val="00657373"/>
    <w:rsid w:val="00663AC9"/>
    <w:rsid w:val="00672059"/>
    <w:rsid w:val="00672D70"/>
    <w:rsid w:val="0067312A"/>
    <w:rsid w:val="006731E3"/>
    <w:rsid w:val="006732DE"/>
    <w:rsid w:val="00682107"/>
    <w:rsid w:val="00685D40"/>
    <w:rsid w:val="006863A4"/>
    <w:rsid w:val="00687180"/>
    <w:rsid w:val="00691BDA"/>
    <w:rsid w:val="00697BC6"/>
    <w:rsid w:val="006A0311"/>
    <w:rsid w:val="006A3B59"/>
    <w:rsid w:val="006A48DE"/>
    <w:rsid w:val="006A7748"/>
    <w:rsid w:val="006B1143"/>
    <w:rsid w:val="006B4382"/>
    <w:rsid w:val="006B47D7"/>
    <w:rsid w:val="006B4A08"/>
    <w:rsid w:val="006C01BF"/>
    <w:rsid w:val="006C6C6D"/>
    <w:rsid w:val="006D00AA"/>
    <w:rsid w:val="006D6C5C"/>
    <w:rsid w:val="006D7CFD"/>
    <w:rsid w:val="006E01C3"/>
    <w:rsid w:val="006E19E2"/>
    <w:rsid w:val="006E39BE"/>
    <w:rsid w:val="006E416D"/>
    <w:rsid w:val="006F0E03"/>
    <w:rsid w:val="00701B2F"/>
    <w:rsid w:val="00710180"/>
    <w:rsid w:val="00711925"/>
    <w:rsid w:val="007154A4"/>
    <w:rsid w:val="0071596D"/>
    <w:rsid w:val="0072280A"/>
    <w:rsid w:val="00726CBE"/>
    <w:rsid w:val="00732DCA"/>
    <w:rsid w:val="007448CA"/>
    <w:rsid w:val="00744AB2"/>
    <w:rsid w:val="0074611C"/>
    <w:rsid w:val="00746E4E"/>
    <w:rsid w:val="00747079"/>
    <w:rsid w:val="00750224"/>
    <w:rsid w:val="00750FEF"/>
    <w:rsid w:val="0075686A"/>
    <w:rsid w:val="0076230F"/>
    <w:rsid w:val="00770137"/>
    <w:rsid w:val="00777E53"/>
    <w:rsid w:val="00783B76"/>
    <w:rsid w:val="007848EA"/>
    <w:rsid w:val="0078687D"/>
    <w:rsid w:val="00790637"/>
    <w:rsid w:val="00791101"/>
    <w:rsid w:val="0079649B"/>
    <w:rsid w:val="007A1DEF"/>
    <w:rsid w:val="007A31D9"/>
    <w:rsid w:val="007A36C4"/>
    <w:rsid w:val="007A5B90"/>
    <w:rsid w:val="007B1D4F"/>
    <w:rsid w:val="007B426F"/>
    <w:rsid w:val="007B7DEB"/>
    <w:rsid w:val="007C5AE5"/>
    <w:rsid w:val="007C7E26"/>
    <w:rsid w:val="007D136A"/>
    <w:rsid w:val="00803AEC"/>
    <w:rsid w:val="00814802"/>
    <w:rsid w:val="0082053A"/>
    <w:rsid w:val="00824A22"/>
    <w:rsid w:val="008405B5"/>
    <w:rsid w:val="00843415"/>
    <w:rsid w:val="00855354"/>
    <w:rsid w:val="00856609"/>
    <w:rsid w:val="00864C15"/>
    <w:rsid w:val="008670FC"/>
    <w:rsid w:val="00876E91"/>
    <w:rsid w:val="008770D6"/>
    <w:rsid w:val="0088702B"/>
    <w:rsid w:val="00894A4B"/>
    <w:rsid w:val="00897931"/>
    <w:rsid w:val="008A09EE"/>
    <w:rsid w:val="008A3F46"/>
    <w:rsid w:val="008C35F0"/>
    <w:rsid w:val="008C44F7"/>
    <w:rsid w:val="008D0259"/>
    <w:rsid w:val="008E2362"/>
    <w:rsid w:val="008F05C0"/>
    <w:rsid w:val="008F4D35"/>
    <w:rsid w:val="008F5E0C"/>
    <w:rsid w:val="009040D9"/>
    <w:rsid w:val="0090441B"/>
    <w:rsid w:val="00906A0A"/>
    <w:rsid w:val="009079E9"/>
    <w:rsid w:val="009116F1"/>
    <w:rsid w:val="00911974"/>
    <w:rsid w:val="00913A7A"/>
    <w:rsid w:val="00922905"/>
    <w:rsid w:val="009262D1"/>
    <w:rsid w:val="00931083"/>
    <w:rsid w:val="0093738A"/>
    <w:rsid w:val="00937B3A"/>
    <w:rsid w:val="0094253C"/>
    <w:rsid w:val="00943030"/>
    <w:rsid w:val="0096658E"/>
    <w:rsid w:val="00974740"/>
    <w:rsid w:val="00985732"/>
    <w:rsid w:val="00986353"/>
    <w:rsid w:val="00993ED8"/>
    <w:rsid w:val="00996681"/>
    <w:rsid w:val="00996C94"/>
    <w:rsid w:val="009A7685"/>
    <w:rsid w:val="009B5043"/>
    <w:rsid w:val="009B51A6"/>
    <w:rsid w:val="009C6588"/>
    <w:rsid w:val="009C7359"/>
    <w:rsid w:val="009E2BE8"/>
    <w:rsid w:val="009E4052"/>
    <w:rsid w:val="009F060F"/>
    <w:rsid w:val="009F4FD7"/>
    <w:rsid w:val="00A05DFB"/>
    <w:rsid w:val="00A07872"/>
    <w:rsid w:val="00A109D1"/>
    <w:rsid w:val="00A134B5"/>
    <w:rsid w:val="00A1447E"/>
    <w:rsid w:val="00A17BA2"/>
    <w:rsid w:val="00A21952"/>
    <w:rsid w:val="00A30D19"/>
    <w:rsid w:val="00A32CF5"/>
    <w:rsid w:val="00A34F4F"/>
    <w:rsid w:val="00A636B7"/>
    <w:rsid w:val="00A779AE"/>
    <w:rsid w:val="00A853F2"/>
    <w:rsid w:val="00A90330"/>
    <w:rsid w:val="00A966D6"/>
    <w:rsid w:val="00AA3ED8"/>
    <w:rsid w:val="00AC5E8F"/>
    <w:rsid w:val="00AD08C0"/>
    <w:rsid w:val="00AD1AB5"/>
    <w:rsid w:val="00B01578"/>
    <w:rsid w:val="00B030AA"/>
    <w:rsid w:val="00B03F4B"/>
    <w:rsid w:val="00B057F6"/>
    <w:rsid w:val="00B1066F"/>
    <w:rsid w:val="00B132DC"/>
    <w:rsid w:val="00B20269"/>
    <w:rsid w:val="00B27019"/>
    <w:rsid w:val="00B43E56"/>
    <w:rsid w:val="00B453C8"/>
    <w:rsid w:val="00B52787"/>
    <w:rsid w:val="00B53E81"/>
    <w:rsid w:val="00B6633C"/>
    <w:rsid w:val="00B66FE4"/>
    <w:rsid w:val="00B73FF1"/>
    <w:rsid w:val="00B9792A"/>
    <w:rsid w:val="00BA6C27"/>
    <w:rsid w:val="00BB03B4"/>
    <w:rsid w:val="00BB366E"/>
    <w:rsid w:val="00BC4B06"/>
    <w:rsid w:val="00BC4F44"/>
    <w:rsid w:val="00BD6B50"/>
    <w:rsid w:val="00BD6D57"/>
    <w:rsid w:val="00BD7EB9"/>
    <w:rsid w:val="00BE04EC"/>
    <w:rsid w:val="00BE27D8"/>
    <w:rsid w:val="00BE6104"/>
    <w:rsid w:val="00BF0A2E"/>
    <w:rsid w:val="00BF21AE"/>
    <w:rsid w:val="00BF34F7"/>
    <w:rsid w:val="00BF5C2E"/>
    <w:rsid w:val="00C00095"/>
    <w:rsid w:val="00C14F9A"/>
    <w:rsid w:val="00C17C69"/>
    <w:rsid w:val="00C406F4"/>
    <w:rsid w:val="00C45AB4"/>
    <w:rsid w:val="00C521CC"/>
    <w:rsid w:val="00C5473B"/>
    <w:rsid w:val="00C553D0"/>
    <w:rsid w:val="00C659E9"/>
    <w:rsid w:val="00C65C1C"/>
    <w:rsid w:val="00C7768E"/>
    <w:rsid w:val="00C8587C"/>
    <w:rsid w:val="00C925E8"/>
    <w:rsid w:val="00C9290D"/>
    <w:rsid w:val="00C9303D"/>
    <w:rsid w:val="00C931BA"/>
    <w:rsid w:val="00C96701"/>
    <w:rsid w:val="00CA18E0"/>
    <w:rsid w:val="00CB39AB"/>
    <w:rsid w:val="00CB50D1"/>
    <w:rsid w:val="00CC13A6"/>
    <w:rsid w:val="00CC3EBE"/>
    <w:rsid w:val="00CC6FA0"/>
    <w:rsid w:val="00CD1F21"/>
    <w:rsid w:val="00CD2E8C"/>
    <w:rsid w:val="00CE3D3F"/>
    <w:rsid w:val="00CF766B"/>
    <w:rsid w:val="00D046E3"/>
    <w:rsid w:val="00D1361D"/>
    <w:rsid w:val="00D16AAF"/>
    <w:rsid w:val="00D2712C"/>
    <w:rsid w:val="00D340A1"/>
    <w:rsid w:val="00D36A50"/>
    <w:rsid w:val="00D36C55"/>
    <w:rsid w:val="00D46259"/>
    <w:rsid w:val="00D47AB7"/>
    <w:rsid w:val="00D5010F"/>
    <w:rsid w:val="00D61956"/>
    <w:rsid w:val="00D67B7C"/>
    <w:rsid w:val="00D746A2"/>
    <w:rsid w:val="00D90121"/>
    <w:rsid w:val="00D9270B"/>
    <w:rsid w:val="00D93CDA"/>
    <w:rsid w:val="00D97A45"/>
    <w:rsid w:val="00DA114B"/>
    <w:rsid w:val="00DA388A"/>
    <w:rsid w:val="00DA6120"/>
    <w:rsid w:val="00DB2970"/>
    <w:rsid w:val="00DB77C2"/>
    <w:rsid w:val="00DC0522"/>
    <w:rsid w:val="00DD2D5B"/>
    <w:rsid w:val="00DE3D3B"/>
    <w:rsid w:val="00DE3F18"/>
    <w:rsid w:val="00DE567C"/>
    <w:rsid w:val="00DE6736"/>
    <w:rsid w:val="00DF2497"/>
    <w:rsid w:val="00DF2D64"/>
    <w:rsid w:val="00DF58D6"/>
    <w:rsid w:val="00DF7C47"/>
    <w:rsid w:val="00E0020A"/>
    <w:rsid w:val="00E04E77"/>
    <w:rsid w:val="00E0639F"/>
    <w:rsid w:val="00E17A6E"/>
    <w:rsid w:val="00E231FC"/>
    <w:rsid w:val="00E37BE6"/>
    <w:rsid w:val="00E37D7A"/>
    <w:rsid w:val="00E42EF6"/>
    <w:rsid w:val="00E45DB7"/>
    <w:rsid w:val="00E50CE5"/>
    <w:rsid w:val="00E537B7"/>
    <w:rsid w:val="00E5517A"/>
    <w:rsid w:val="00E60FC0"/>
    <w:rsid w:val="00E61AAD"/>
    <w:rsid w:val="00E62C02"/>
    <w:rsid w:val="00E759D8"/>
    <w:rsid w:val="00E80636"/>
    <w:rsid w:val="00E83426"/>
    <w:rsid w:val="00E9083F"/>
    <w:rsid w:val="00E917C8"/>
    <w:rsid w:val="00E9262B"/>
    <w:rsid w:val="00E929CE"/>
    <w:rsid w:val="00E92F94"/>
    <w:rsid w:val="00E932CA"/>
    <w:rsid w:val="00E93BF7"/>
    <w:rsid w:val="00E94C19"/>
    <w:rsid w:val="00EA04D5"/>
    <w:rsid w:val="00EA1D41"/>
    <w:rsid w:val="00EA5A58"/>
    <w:rsid w:val="00EB2AA6"/>
    <w:rsid w:val="00EB6C71"/>
    <w:rsid w:val="00EB7832"/>
    <w:rsid w:val="00ED1CD7"/>
    <w:rsid w:val="00ED2A36"/>
    <w:rsid w:val="00ED44FC"/>
    <w:rsid w:val="00F05167"/>
    <w:rsid w:val="00F122DD"/>
    <w:rsid w:val="00F13445"/>
    <w:rsid w:val="00F2338E"/>
    <w:rsid w:val="00F24DD8"/>
    <w:rsid w:val="00F310A0"/>
    <w:rsid w:val="00F3174C"/>
    <w:rsid w:val="00F34BBB"/>
    <w:rsid w:val="00F42A00"/>
    <w:rsid w:val="00F46E68"/>
    <w:rsid w:val="00F561B1"/>
    <w:rsid w:val="00F74181"/>
    <w:rsid w:val="00F763BD"/>
    <w:rsid w:val="00F8098C"/>
    <w:rsid w:val="00F84B0F"/>
    <w:rsid w:val="00F9566B"/>
    <w:rsid w:val="00FA245D"/>
    <w:rsid w:val="00FA58A0"/>
    <w:rsid w:val="00FB1C73"/>
    <w:rsid w:val="00FD25D7"/>
    <w:rsid w:val="00FD4616"/>
    <w:rsid w:val="00FD6314"/>
    <w:rsid w:val="00FE5EF7"/>
    <w:rsid w:val="00FE71C5"/>
    <w:rsid w:val="00FF7511"/>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colormru v:ext="edit" colors="#ccecff"/>
    </o:shapedefaults>
    <o:shapelayout v:ext="edit">
      <o:idmap v:ext="edit" data="1"/>
    </o:shapelayout>
  </w:shapeDefaults>
  <w:decimalSymbol w:val="."/>
  <w:listSeparator w:val=","/>
  <w15:docId w15:val="{D8B6A283-552E-452E-9791-8140AD2D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91"/>
    <w:pPr>
      <w:jc w:val="both"/>
    </w:pPr>
    <w:rPr>
      <w:kern w:val="22"/>
      <w:sz w:val="22"/>
      <w:szCs w:val="24"/>
    </w:rPr>
  </w:style>
  <w:style w:type="paragraph" w:styleId="Heading1">
    <w:name w:val="heading 1"/>
    <w:basedOn w:val="Normal"/>
    <w:next w:val="Normal"/>
    <w:qFormat/>
    <w:rsid w:val="00460F91"/>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460F91"/>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460F91"/>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460F91"/>
    <w:pPr>
      <w:keepNext/>
      <w:numPr>
        <w:ilvl w:val="3"/>
        <w:numId w:val="1"/>
      </w:numPr>
      <w:spacing w:before="120" w:after="60"/>
      <w:outlineLvl w:val="3"/>
    </w:pPr>
    <w:rPr>
      <w:b/>
      <w:bCs/>
      <w:kern w:val="0"/>
      <w:szCs w:val="28"/>
    </w:rPr>
  </w:style>
  <w:style w:type="paragraph" w:styleId="Heading5">
    <w:name w:val="heading 5"/>
    <w:basedOn w:val="Normal"/>
    <w:next w:val="Normal"/>
    <w:rsid w:val="00460F91"/>
    <w:pPr>
      <w:numPr>
        <w:ilvl w:val="4"/>
        <w:numId w:val="1"/>
      </w:numPr>
      <w:spacing w:before="240" w:after="60"/>
      <w:outlineLvl w:val="4"/>
    </w:pPr>
    <w:rPr>
      <w:b/>
      <w:bCs/>
      <w:i/>
      <w:iCs/>
      <w:sz w:val="26"/>
      <w:szCs w:val="26"/>
    </w:rPr>
  </w:style>
  <w:style w:type="paragraph" w:styleId="Heading6">
    <w:name w:val="heading 6"/>
    <w:basedOn w:val="Normal"/>
    <w:next w:val="Normal"/>
    <w:rsid w:val="00460F91"/>
    <w:pPr>
      <w:numPr>
        <w:ilvl w:val="5"/>
        <w:numId w:val="1"/>
      </w:numPr>
      <w:spacing w:before="240" w:after="60"/>
      <w:outlineLvl w:val="5"/>
    </w:pPr>
    <w:rPr>
      <w:b/>
      <w:bCs/>
      <w:szCs w:val="22"/>
    </w:rPr>
  </w:style>
  <w:style w:type="paragraph" w:styleId="Heading7">
    <w:name w:val="heading 7"/>
    <w:basedOn w:val="Normal"/>
    <w:next w:val="Normal"/>
    <w:rsid w:val="00460F91"/>
    <w:pPr>
      <w:numPr>
        <w:ilvl w:val="6"/>
        <w:numId w:val="1"/>
      </w:numPr>
      <w:spacing w:before="240" w:after="60"/>
      <w:outlineLvl w:val="6"/>
    </w:pPr>
  </w:style>
  <w:style w:type="paragraph" w:styleId="Heading8">
    <w:name w:val="heading 8"/>
    <w:basedOn w:val="Normal"/>
    <w:next w:val="Normal"/>
    <w:rsid w:val="00460F91"/>
    <w:pPr>
      <w:numPr>
        <w:ilvl w:val="7"/>
        <w:numId w:val="1"/>
      </w:numPr>
      <w:spacing w:before="240" w:after="60"/>
      <w:outlineLvl w:val="7"/>
    </w:pPr>
    <w:rPr>
      <w:i/>
      <w:iCs/>
    </w:rPr>
  </w:style>
  <w:style w:type="paragraph" w:styleId="Heading9">
    <w:name w:val="heading 9"/>
    <w:basedOn w:val="Normal"/>
    <w:next w:val="Normal"/>
    <w:rsid w:val="00460F91"/>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460F91"/>
    <w:pPr>
      <w:spacing w:before="120" w:after="240"/>
      <w:ind w:left="720" w:hanging="720"/>
    </w:pPr>
  </w:style>
  <w:style w:type="paragraph" w:customStyle="1" w:styleId="6pointSpacer">
    <w:name w:val="6pointSpacer"/>
    <w:basedOn w:val="Normal"/>
    <w:rsid w:val="00460F91"/>
    <w:rPr>
      <w:sz w:val="12"/>
      <w:szCs w:val="12"/>
    </w:rPr>
  </w:style>
  <w:style w:type="paragraph" w:styleId="BodyText">
    <w:name w:val="Body Text"/>
    <w:basedOn w:val="Normal"/>
    <w:rsid w:val="00460F91"/>
    <w:pPr>
      <w:spacing w:after="120"/>
    </w:pPr>
  </w:style>
  <w:style w:type="paragraph" w:styleId="Caption">
    <w:name w:val="caption"/>
    <w:basedOn w:val="Normal"/>
    <w:next w:val="Normal"/>
    <w:rsid w:val="00460F91"/>
    <w:pPr>
      <w:keepNext/>
      <w:spacing w:before="120" w:after="120"/>
    </w:pPr>
    <w:rPr>
      <w:b/>
      <w:bCs/>
      <w:szCs w:val="20"/>
    </w:rPr>
  </w:style>
  <w:style w:type="paragraph" w:customStyle="1" w:styleId="CenteredCaption">
    <w:name w:val="CenteredCaption"/>
    <w:basedOn w:val="Caption"/>
    <w:rsid w:val="00460F91"/>
    <w:pPr>
      <w:jc w:val="center"/>
    </w:pPr>
  </w:style>
  <w:style w:type="character" w:customStyle="1" w:styleId="Emphasize">
    <w:name w:val="Emphasize"/>
    <w:rsid w:val="00460F91"/>
    <w:rPr>
      <w:b/>
      <w:color w:val="000080"/>
    </w:rPr>
  </w:style>
  <w:style w:type="paragraph" w:styleId="Header">
    <w:name w:val="header"/>
    <w:basedOn w:val="Normal"/>
    <w:link w:val="HeaderChar"/>
    <w:rsid w:val="00460F91"/>
    <w:pPr>
      <w:tabs>
        <w:tab w:val="center" w:pos="4320"/>
        <w:tab w:val="right" w:pos="9360"/>
      </w:tabs>
    </w:pPr>
    <w:rPr>
      <w:rFonts w:ascii="Arial" w:hAnsi="Arial"/>
      <w:sz w:val="16"/>
    </w:rPr>
  </w:style>
  <w:style w:type="character" w:customStyle="1" w:styleId="Italicize">
    <w:name w:val="Italicize"/>
    <w:rsid w:val="00460F91"/>
    <w:rPr>
      <w:i/>
      <w:color w:val="003399"/>
    </w:rPr>
  </w:style>
  <w:style w:type="paragraph" w:customStyle="1" w:styleId="Left1">
    <w:name w:val="Left:1"/>
    <w:basedOn w:val="Normal"/>
    <w:rsid w:val="00460F91"/>
    <w:pPr>
      <w:ind w:left="504"/>
    </w:pPr>
  </w:style>
  <w:style w:type="paragraph" w:customStyle="1" w:styleId="Left2">
    <w:name w:val="Left:2"/>
    <w:basedOn w:val="Normal"/>
    <w:rsid w:val="00460F91"/>
    <w:pPr>
      <w:ind w:left="1008"/>
    </w:pPr>
  </w:style>
  <w:style w:type="paragraph" w:customStyle="1" w:styleId="Left3">
    <w:name w:val="Left:3"/>
    <w:basedOn w:val="Normal"/>
    <w:rsid w:val="00460F91"/>
    <w:pPr>
      <w:ind w:left="1800"/>
    </w:pPr>
  </w:style>
  <w:style w:type="paragraph" w:customStyle="1" w:styleId="Left4">
    <w:name w:val="Left:4"/>
    <w:basedOn w:val="Normal"/>
    <w:rsid w:val="00460F91"/>
    <w:pPr>
      <w:ind w:left="2736"/>
    </w:pPr>
  </w:style>
  <w:style w:type="numbering" w:customStyle="1" w:styleId="ListBulleted">
    <w:name w:val="List Bulleted"/>
    <w:basedOn w:val="NoList"/>
    <w:rsid w:val="00460F91"/>
    <w:pPr>
      <w:numPr>
        <w:numId w:val="2"/>
      </w:numPr>
    </w:pPr>
  </w:style>
  <w:style w:type="numbering" w:customStyle="1" w:styleId="ListBulletedIndented">
    <w:name w:val="List Bulleted Indented"/>
    <w:basedOn w:val="NoList"/>
    <w:rsid w:val="00460F91"/>
    <w:pPr>
      <w:numPr>
        <w:numId w:val="3"/>
      </w:numPr>
    </w:pPr>
  </w:style>
  <w:style w:type="numbering" w:customStyle="1" w:styleId="ListMultiple-choiceChar">
    <w:name w:val="List Multiple-choice Char"/>
    <w:basedOn w:val="NoList"/>
    <w:rsid w:val="00460F91"/>
    <w:pPr>
      <w:numPr>
        <w:numId w:val="4"/>
      </w:numPr>
    </w:pPr>
  </w:style>
  <w:style w:type="numbering" w:customStyle="1" w:styleId="ListOutlineChar">
    <w:name w:val="List Outline Char"/>
    <w:rsid w:val="00460F91"/>
    <w:pPr>
      <w:numPr>
        <w:numId w:val="5"/>
      </w:numPr>
    </w:pPr>
  </w:style>
  <w:style w:type="numbering" w:customStyle="1" w:styleId="ListOutlineNumbered">
    <w:name w:val="List Outline Numbered"/>
    <w:basedOn w:val="NoList"/>
    <w:rsid w:val="00460F91"/>
    <w:pPr>
      <w:numPr>
        <w:numId w:val="6"/>
      </w:numPr>
    </w:pPr>
  </w:style>
  <w:style w:type="paragraph" w:styleId="Subtitle">
    <w:name w:val="Subtitle"/>
    <w:basedOn w:val="Normal"/>
    <w:qFormat/>
    <w:rsid w:val="00460F91"/>
    <w:pPr>
      <w:spacing w:before="120" w:after="120"/>
      <w:jc w:val="center"/>
      <w:outlineLvl w:val="1"/>
    </w:pPr>
    <w:rPr>
      <w:rFonts w:ascii="Arial" w:hAnsi="Arial" w:cs="Arial"/>
      <w:color w:val="000080"/>
    </w:rPr>
  </w:style>
  <w:style w:type="paragraph" w:customStyle="1" w:styleId="TableCentered">
    <w:name w:val="TableCentered"/>
    <w:basedOn w:val="Normal"/>
    <w:rsid w:val="00460F91"/>
    <w:pPr>
      <w:jc w:val="center"/>
    </w:pPr>
    <w:rPr>
      <w:szCs w:val="20"/>
    </w:rPr>
  </w:style>
  <w:style w:type="paragraph" w:customStyle="1" w:styleId="TableLeftText">
    <w:name w:val="TableLeftText"/>
    <w:basedOn w:val="Normal"/>
    <w:rsid w:val="00460F91"/>
  </w:style>
  <w:style w:type="paragraph" w:customStyle="1" w:styleId="TableRightText">
    <w:name w:val="TableRightText"/>
    <w:basedOn w:val="Normal"/>
    <w:rsid w:val="00460F91"/>
    <w:pPr>
      <w:jc w:val="right"/>
    </w:pPr>
  </w:style>
  <w:style w:type="paragraph" w:styleId="Title">
    <w:name w:val="Title"/>
    <w:basedOn w:val="Normal"/>
    <w:qFormat/>
    <w:rsid w:val="00460F91"/>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460F91"/>
    <w:rPr>
      <w:b/>
      <w:i/>
      <w:u w:val="single"/>
      <w:bdr w:val="none" w:sz="0" w:space="0" w:color="auto"/>
      <w:shd w:val="clear" w:color="auto" w:fill="FFFF99"/>
    </w:rPr>
  </w:style>
  <w:style w:type="paragraph" w:customStyle="1" w:styleId="GCaptionBoldCentered">
    <w:name w:val="GCaptionBoldCentered"/>
    <w:basedOn w:val="Normal"/>
    <w:rsid w:val="00460F91"/>
    <w:pPr>
      <w:keepNext/>
      <w:jc w:val="center"/>
    </w:pPr>
    <w:rPr>
      <w:b/>
      <w:color w:val="000099"/>
      <w:sz w:val="24"/>
    </w:rPr>
  </w:style>
  <w:style w:type="paragraph" w:styleId="Footer">
    <w:name w:val="footer"/>
    <w:basedOn w:val="Normal"/>
    <w:rsid w:val="00460F91"/>
    <w:pPr>
      <w:tabs>
        <w:tab w:val="center" w:pos="4320"/>
        <w:tab w:val="right" w:pos="9360"/>
      </w:tabs>
    </w:pPr>
    <w:rPr>
      <w:rFonts w:ascii="Arial" w:hAnsi="Arial"/>
      <w:sz w:val="16"/>
    </w:rPr>
  </w:style>
  <w:style w:type="character" w:styleId="PageNumber">
    <w:name w:val="page number"/>
    <w:basedOn w:val="DefaultParagraphFont"/>
    <w:rsid w:val="00460F91"/>
  </w:style>
  <w:style w:type="paragraph" w:customStyle="1" w:styleId="CoverText">
    <w:name w:val="CoverText"/>
    <w:basedOn w:val="Normal"/>
    <w:rsid w:val="00460F91"/>
    <w:pPr>
      <w:jc w:val="center"/>
    </w:pPr>
  </w:style>
  <w:style w:type="paragraph" w:styleId="BodyText3">
    <w:name w:val="Body Text 3"/>
    <w:basedOn w:val="Normal"/>
    <w:rsid w:val="00460F91"/>
    <w:rPr>
      <w:sz w:val="18"/>
      <w:szCs w:val="16"/>
    </w:rPr>
  </w:style>
  <w:style w:type="paragraph" w:styleId="BodyTextFirstIndent">
    <w:name w:val="Body Text First Indent"/>
    <w:basedOn w:val="BodyText"/>
    <w:rsid w:val="00460F91"/>
    <w:pPr>
      <w:spacing w:line="480" w:lineRule="auto"/>
      <w:ind w:firstLine="432"/>
    </w:pPr>
  </w:style>
  <w:style w:type="paragraph" w:styleId="FootnoteText">
    <w:name w:val="footnote text"/>
    <w:basedOn w:val="Normal"/>
    <w:rsid w:val="00460F91"/>
    <w:rPr>
      <w:sz w:val="20"/>
      <w:szCs w:val="20"/>
    </w:rPr>
  </w:style>
  <w:style w:type="paragraph" w:customStyle="1" w:styleId="CenterTable">
    <w:name w:val="CenterTable"/>
    <w:basedOn w:val="Normal"/>
    <w:rsid w:val="00460F91"/>
    <w:pPr>
      <w:jc w:val="center"/>
    </w:pPr>
  </w:style>
  <w:style w:type="numbering" w:customStyle="1" w:styleId="StyleOutlinenumbered">
    <w:name w:val="Style Outline numbered"/>
    <w:basedOn w:val="NoList"/>
    <w:rsid w:val="00460F91"/>
    <w:pPr>
      <w:numPr>
        <w:numId w:val="9"/>
      </w:numPr>
    </w:pPr>
  </w:style>
  <w:style w:type="paragraph" w:customStyle="1" w:styleId="StyleLeft14">
    <w:name w:val="Style Left:  1.4&quot;"/>
    <w:basedOn w:val="Normal"/>
    <w:rsid w:val="00460F91"/>
    <w:pPr>
      <w:ind w:left="2016"/>
    </w:pPr>
    <w:rPr>
      <w:szCs w:val="22"/>
    </w:rPr>
  </w:style>
  <w:style w:type="paragraph" w:customStyle="1" w:styleId="StyleLeft105">
    <w:name w:val="Style Left:  1.05&quot;"/>
    <w:basedOn w:val="Normal"/>
    <w:rsid w:val="00460F91"/>
    <w:pPr>
      <w:ind w:left="1512"/>
    </w:pPr>
    <w:rPr>
      <w:szCs w:val="20"/>
    </w:rPr>
  </w:style>
  <w:style w:type="paragraph" w:customStyle="1" w:styleId="StyleLeft07">
    <w:name w:val="Style Left:  0.7&quot;"/>
    <w:basedOn w:val="Normal"/>
    <w:rsid w:val="00460F91"/>
    <w:pPr>
      <w:ind w:left="1008"/>
    </w:pPr>
    <w:rPr>
      <w:szCs w:val="20"/>
    </w:rPr>
  </w:style>
  <w:style w:type="paragraph" w:customStyle="1" w:styleId="StyleLeft035">
    <w:name w:val="Style Left:  0.35&quot;"/>
    <w:basedOn w:val="Normal"/>
    <w:rsid w:val="00460F91"/>
    <w:pPr>
      <w:ind w:left="504"/>
    </w:pPr>
    <w:rPr>
      <w:szCs w:val="20"/>
    </w:rPr>
  </w:style>
  <w:style w:type="paragraph" w:customStyle="1" w:styleId="Indentedlist">
    <w:name w:val="Indented list"/>
    <w:basedOn w:val="Normal"/>
    <w:rsid w:val="00460F91"/>
    <w:pPr>
      <w:numPr>
        <w:numId w:val="7"/>
      </w:numPr>
    </w:pPr>
    <w:rPr>
      <w:szCs w:val="22"/>
    </w:rPr>
  </w:style>
  <w:style w:type="paragraph" w:styleId="List">
    <w:name w:val="List"/>
    <w:basedOn w:val="Normal"/>
    <w:rsid w:val="00460F91"/>
    <w:pPr>
      <w:numPr>
        <w:numId w:val="8"/>
      </w:numPr>
    </w:pPr>
    <w:rPr>
      <w:szCs w:val="22"/>
    </w:rPr>
  </w:style>
  <w:style w:type="numbering" w:customStyle="1" w:styleId="StyleCharOutlinenumbered">
    <w:name w:val="Style Char Outline numbered"/>
    <w:basedOn w:val="NoList"/>
    <w:rsid w:val="00460F91"/>
    <w:pPr>
      <w:numPr>
        <w:numId w:val="10"/>
      </w:numPr>
    </w:pPr>
  </w:style>
  <w:style w:type="paragraph" w:styleId="BalloonText">
    <w:name w:val="Balloon Text"/>
    <w:basedOn w:val="Normal"/>
    <w:link w:val="BalloonTextChar"/>
    <w:rsid w:val="00460F91"/>
    <w:rPr>
      <w:rFonts w:ascii="Tahoma" w:hAnsi="Tahoma" w:cs="Tahoma"/>
      <w:sz w:val="16"/>
      <w:szCs w:val="16"/>
    </w:rPr>
  </w:style>
  <w:style w:type="character" w:customStyle="1" w:styleId="BalloonTextChar">
    <w:name w:val="Balloon Text Char"/>
    <w:link w:val="BalloonText"/>
    <w:rsid w:val="00460F91"/>
    <w:rPr>
      <w:rFonts w:ascii="Tahoma" w:hAnsi="Tahoma" w:cs="Tahoma"/>
      <w:kern w:val="22"/>
      <w:sz w:val="16"/>
      <w:szCs w:val="16"/>
    </w:rPr>
  </w:style>
  <w:style w:type="character" w:styleId="Hyperlink">
    <w:name w:val="Hyperlink"/>
    <w:rsid w:val="00460F91"/>
    <w:rPr>
      <w:color w:val="0000FF"/>
      <w:u w:val="single"/>
    </w:rPr>
  </w:style>
  <w:style w:type="table" w:styleId="TableGrid">
    <w:name w:val="Table Grid"/>
    <w:basedOn w:val="TableNormal"/>
    <w:rsid w:val="00460F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60F91"/>
    <w:rPr>
      <w:color w:val="800080"/>
      <w:u w:val="single"/>
    </w:rPr>
  </w:style>
  <w:style w:type="character" w:customStyle="1" w:styleId="HeaderChar">
    <w:name w:val="Header Char"/>
    <w:basedOn w:val="DefaultParagraphFont"/>
    <w:link w:val="Header"/>
    <w:rsid w:val="00460F91"/>
    <w:rPr>
      <w:rFonts w:ascii="Arial" w:hAnsi="Arial"/>
      <w:kern w:val="2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277</TotalTime>
  <Pages>2</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Forecasting and Valuation of Enterprise Cash Flows</vt:lpstr>
    </vt:vector>
  </TitlesOfParts>
  <Manager>http://www.godeohlson.com</Manager>
  <Company>paper.dot</Company>
  <LinksUpToDate>false</LinksUpToDate>
  <CharactersWithSpaces>15425</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Forecasting and Valuation of Enterprise Cash Flows</dc:title>
  <dc:subject>Financial Statement Analysis and Valuation</dc:subject>
  <dc:creator>Dan Gode and James Ohlson</dc:creator>
  <cp:keywords/>
  <dc:description/>
  <cp:lastModifiedBy>Dan Gode</cp:lastModifiedBy>
  <cp:revision>176</cp:revision>
  <cp:lastPrinted>2012-02-19T19:01:00Z</cp:lastPrinted>
  <dcterms:created xsi:type="dcterms:W3CDTF">2012-01-08T20:33:00Z</dcterms:created>
  <dcterms:modified xsi:type="dcterms:W3CDTF">2016-09-03T23:01:00Z</dcterms:modified>
</cp:coreProperties>
</file>