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03" w:rsidRDefault="00AE4003" w:rsidP="00AE4003">
      <w:pPr>
        <w:pStyle w:val="Title"/>
      </w:pPr>
      <w:bookmarkStart w:id="0" w:name="_GoBack"/>
      <w:bookmarkEnd w:id="0"/>
      <w:r w:rsidRPr="00693DA0">
        <w:t>Valuation</w:t>
      </w:r>
      <w:r w:rsidR="0086767B">
        <w:t>: Dividends, Book Values, and Earnings</w:t>
      </w:r>
    </w:p>
    <w:p w:rsidR="009E66A1" w:rsidRDefault="00265B7B" w:rsidP="009E66A1">
      <w:pPr>
        <w:pStyle w:val="Subtitle"/>
      </w:pPr>
      <w:r>
        <w:t xml:space="preserve">© </w:t>
      </w:r>
      <w:r w:rsidR="009E66A1">
        <w:t>Dan Gode and James Ohlson</w:t>
      </w:r>
    </w:p>
    <w:p w:rsidR="00F24107" w:rsidRPr="00F24107" w:rsidRDefault="00C412C9" w:rsidP="00F24107">
      <w:pPr>
        <w:pStyle w:val="Heading1"/>
      </w:pPr>
      <w:r>
        <w:t>Overview</w:t>
      </w:r>
    </w:p>
    <w:p w:rsidR="00FA47D7" w:rsidRPr="00FA47D7" w:rsidRDefault="00FA47D7" w:rsidP="00D20143">
      <w:pPr>
        <w:pStyle w:val="BodyText"/>
      </w:pPr>
      <w:r>
        <w:t xml:space="preserve">Dividends, book values, and earnings are the three widely used </w:t>
      </w:r>
      <w:r w:rsidR="00FF3F3B">
        <w:t>financial metrics</w:t>
      </w:r>
      <w:r>
        <w:t xml:space="preserve">. </w:t>
      </w:r>
      <w:r w:rsidR="008C0AAB">
        <w:t>Their</w:t>
      </w:r>
      <w:r w:rsidR="008C0AAB" w:rsidRPr="008C0AAB">
        <w:t xml:space="preserve"> popularity naturally leads to the question: how does one convert forecasts of these metrics into an estimate of equity value?</w:t>
      </w:r>
      <w:r w:rsidR="008C0AAB">
        <w:t xml:space="preserve"> </w:t>
      </w:r>
      <w:r w:rsidR="00836B74">
        <w:t xml:space="preserve">This spreadsheet </w:t>
      </w:r>
      <w:r w:rsidR="00EC159D">
        <w:t xml:space="preserve">presents </w:t>
      </w:r>
      <w:r w:rsidR="008E55F1">
        <w:t>three transformations of the dividend discount model (DDM) – the dividend growth model,</w:t>
      </w:r>
      <w:r w:rsidR="007634C0">
        <w:t xml:space="preserve"> the book value growth model</w:t>
      </w:r>
      <w:r w:rsidR="000067C4">
        <w:t>, and the earnings growth model</w:t>
      </w:r>
      <w:r w:rsidR="00D1039D">
        <w:t xml:space="preserve">. </w:t>
      </w:r>
      <w:r w:rsidRPr="00FA47D7">
        <w:t>These transformations connect equity value to a valuation anchor and a second component attributable to growth in the valuation anchor.</w:t>
      </w:r>
      <w:r>
        <w:t xml:space="preserve"> </w:t>
      </w:r>
      <w:r w:rsidR="0030354D">
        <w:t xml:space="preserve">These anchors connect </w:t>
      </w:r>
      <w:r w:rsidR="00B60412">
        <w:t>with</w:t>
      </w:r>
      <w:r w:rsidR="0030354D">
        <w:t xml:space="preserve"> popular relative valuation metrics as summarize</w:t>
      </w:r>
      <w:r w:rsidR="00E422CB">
        <w:t xml:space="preserve">d in the table below.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522"/>
        <w:gridCol w:w="3451"/>
        <w:gridCol w:w="3334"/>
      </w:tblGrid>
      <w:tr w:rsidR="00F5745E" w:rsidTr="00D075C8">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CCECFF"/>
          </w:tcPr>
          <w:p w:rsidR="00F5745E" w:rsidRDefault="00F5745E" w:rsidP="0063092D">
            <w:pPr>
              <w:pStyle w:val="TableLeftText"/>
              <w:keepNext/>
              <w:jc w:val="left"/>
            </w:pPr>
            <w:r>
              <w:t>Transformation of DDM</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CCECFF"/>
          </w:tcPr>
          <w:p w:rsidR="00F5745E" w:rsidRDefault="00F5745E" w:rsidP="0063092D">
            <w:pPr>
              <w:pStyle w:val="TableLeftText"/>
              <w:keepNext/>
              <w:jc w:val="left"/>
            </w:pPr>
            <w:r>
              <w:t>Anchor: Starting point in valuation</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CCECFF"/>
          </w:tcPr>
          <w:p w:rsidR="00F5745E" w:rsidRDefault="00F5745E" w:rsidP="0063092D">
            <w:pPr>
              <w:pStyle w:val="TableLeftText"/>
              <w:keepNext/>
              <w:jc w:val="left"/>
            </w:pPr>
            <w:r>
              <w:t>Relative valuation metric</w:t>
            </w:r>
          </w:p>
        </w:tc>
      </w:tr>
      <w:tr w:rsidR="00F5745E" w:rsidTr="00D075C8">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F5745E" w:rsidRDefault="00F5745E" w:rsidP="0063092D">
            <w:pPr>
              <w:pStyle w:val="TableLeftText"/>
              <w:keepNext/>
              <w:jc w:val="left"/>
            </w:pPr>
            <w:r>
              <w:t>Dividend growth model</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F5745E" w:rsidRDefault="00F5745E" w:rsidP="0063092D">
            <w:pPr>
              <w:pStyle w:val="TableLeftText"/>
              <w:keepNext/>
              <w:jc w:val="left"/>
            </w:pPr>
            <w:r>
              <w:t>Forthcoming dividend/cost of equity</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F5745E" w:rsidRDefault="00F5745E" w:rsidP="0063092D">
            <w:pPr>
              <w:pStyle w:val="TableLeftText"/>
              <w:keepNext/>
              <w:jc w:val="left"/>
            </w:pPr>
            <w:r>
              <w:t>Price to forthcoming dividend ratio</w:t>
            </w:r>
          </w:p>
        </w:tc>
      </w:tr>
      <w:tr w:rsidR="00F5745E" w:rsidTr="00D075C8">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F5745E" w:rsidRDefault="00F5745E" w:rsidP="0063092D">
            <w:pPr>
              <w:pStyle w:val="TableLeftText"/>
              <w:keepNext/>
              <w:jc w:val="left"/>
            </w:pPr>
            <w:r>
              <w:t>Book value growth model</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F5745E" w:rsidRDefault="00F5745E" w:rsidP="0063092D">
            <w:pPr>
              <w:pStyle w:val="TableLeftText"/>
              <w:keepNext/>
              <w:jc w:val="left"/>
            </w:pPr>
            <w:r>
              <w:t>Current book value</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F5745E" w:rsidRDefault="00F5745E" w:rsidP="0063092D">
            <w:pPr>
              <w:pStyle w:val="TableLeftText"/>
              <w:keepNext/>
              <w:jc w:val="left"/>
            </w:pPr>
            <w:r>
              <w:t>Price to book ratio</w:t>
            </w:r>
          </w:p>
        </w:tc>
      </w:tr>
      <w:tr w:rsidR="00F5745E" w:rsidTr="00D075C8">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F5745E" w:rsidRDefault="00F5745E" w:rsidP="0063092D">
            <w:pPr>
              <w:pStyle w:val="TableLeftText"/>
              <w:jc w:val="left"/>
            </w:pPr>
            <w:r>
              <w:t>Earnings growth model</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F5745E" w:rsidRDefault="00F5745E" w:rsidP="0063092D">
            <w:pPr>
              <w:pStyle w:val="TableLeftText"/>
              <w:jc w:val="left"/>
            </w:pPr>
            <w:r>
              <w:t>Forthcoming earnings/cost of equity</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F5745E" w:rsidRDefault="00F5745E" w:rsidP="0063092D">
            <w:pPr>
              <w:pStyle w:val="TableLeftText"/>
              <w:jc w:val="left"/>
            </w:pPr>
            <w:r>
              <w:t>Price to forthcoming earnings ratio</w:t>
            </w:r>
          </w:p>
        </w:tc>
      </w:tr>
    </w:tbl>
    <w:p w:rsidR="00FA47D7" w:rsidRDefault="00FA47D7" w:rsidP="00E44EA9"/>
    <w:p w:rsidR="00E44EA9" w:rsidRDefault="00E44EA9" w:rsidP="00DD7839">
      <w:pPr>
        <w:pStyle w:val="BodyText"/>
      </w:pPr>
      <w:r>
        <w:t xml:space="preserve">These </w:t>
      </w:r>
      <w:r w:rsidR="00DD7839">
        <w:t>transformations</w:t>
      </w:r>
      <w:r>
        <w:t xml:space="preserve"> are also known by the following names.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522"/>
        <w:gridCol w:w="5788"/>
      </w:tblGrid>
      <w:tr w:rsidR="00E44EA9" w:rsidTr="00D075C8">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CCECFF"/>
          </w:tcPr>
          <w:p w:rsidR="00E44EA9" w:rsidRDefault="00E44EA9" w:rsidP="00BC2A10">
            <w:pPr>
              <w:pStyle w:val="TableLeftText"/>
              <w:keepNext/>
              <w:jc w:val="left"/>
            </w:pPr>
            <w:r>
              <w:t>Transformation of DDM</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CCECFF"/>
          </w:tcPr>
          <w:p w:rsidR="00E44EA9" w:rsidRDefault="00E44EA9" w:rsidP="00BC2A10">
            <w:pPr>
              <w:pStyle w:val="TableLeftText"/>
              <w:keepNext/>
              <w:jc w:val="left"/>
            </w:pPr>
            <w:r>
              <w:t>Popular names</w:t>
            </w:r>
          </w:p>
        </w:tc>
      </w:tr>
      <w:tr w:rsidR="00E44EA9" w:rsidTr="00D075C8">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E44EA9" w:rsidRDefault="00E44EA9" w:rsidP="00BC2A10">
            <w:pPr>
              <w:pStyle w:val="TableLeftText"/>
              <w:keepNext/>
              <w:jc w:val="left"/>
            </w:pPr>
            <w:r>
              <w:t>Dividend growth model</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E44EA9" w:rsidRDefault="00E44EA9" w:rsidP="00BC2A10">
            <w:pPr>
              <w:pStyle w:val="TableLeftText"/>
              <w:keepNext/>
              <w:jc w:val="left"/>
            </w:pPr>
            <w:r>
              <w:t>--</w:t>
            </w:r>
          </w:p>
        </w:tc>
      </w:tr>
      <w:tr w:rsidR="00E44EA9" w:rsidTr="00D075C8">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E44EA9" w:rsidRDefault="00E44EA9" w:rsidP="00BC2A10">
            <w:pPr>
              <w:pStyle w:val="TableLeftText"/>
              <w:keepNext/>
              <w:jc w:val="left"/>
            </w:pPr>
            <w:r>
              <w:t>Book value growth model</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E44EA9" w:rsidRDefault="00E44EA9" w:rsidP="00BC2A10">
            <w:pPr>
              <w:pStyle w:val="TableLeftText"/>
              <w:keepNext/>
              <w:jc w:val="left"/>
            </w:pPr>
            <w:r>
              <w:t>Residual income valuation model (RIV</w:t>
            </w:r>
            <w:r w:rsidR="0043407B">
              <w:t>, RIM</w:t>
            </w:r>
            <w:r>
              <w:t>)</w:t>
            </w:r>
          </w:p>
          <w:p w:rsidR="00E44EA9" w:rsidRDefault="00E44EA9" w:rsidP="00E44EA9">
            <w:pPr>
              <w:pStyle w:val="TableLeftText"/>
              <w:keepNext/>
              <w:jc w:val="left"/>
            </w:pPr>
            <w:r>
              <w:t>A variation is called the economic value added model (EVA™)</w:t>
            </w:r>
          </w:p>
        </w:tc>
      </w:tr>
      <w:tr w:rsidR="00E44EA9" w:rsidTr="00D075C8">
        <w:trPr>
          <w:cantSplit/>
        </w:trPr>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E44EA9" w:rsidRDefault="00E44EA9" w:rsidP="00BC2A10">
            <w:pPr>
              <w:pStyle w:val="TableLeftText"/>
              <w:jc w:val="left"/>
            </w:pPr>
            <w:r>
              <w:t>Earnings growth model</w:t>
            </w:r>
          </w:p>
        </w:tc>
        <w:tc>
          <w:tcPr>
            <w:tcW w:w="0" w:type="auto"/>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E44EA9" w:rsidRDefault="00E44EA9" w:rsidP="00BC2A10">
            <w:pPr>
              <w:pStyle w:val="TableLeftText"/>
              <w:jc w:val="left"/>
            </w:pPr>
            <w:r>
              <w:t>Abnormal earnings growth model (AEG)</w:t>
            </w:r>
          </w:p>
        </w:tc>
      </w:tr>
    </w:tbl>
    <w:p w:rsidR="00E44EA9" w:rsidRDefault="00E44EA9" w:rsidP="00E44EA9"/>
    <w:p w:rsidR="00FA47D7" w:rsidRDefault="00E422CB" w:rsidP="00FA47D7">
      <w:pPr>
        <w:pStyle w:val="BodyText"/>
      </w:pPr>
      <w:r>
        <w:t xml:space="preserve">Of the relative valuation metrics, price to forthcoming earnings ratio </w:t>
      </w:r>
      <w:r w:rsidRPr="00FA47D7">
        <w:t>gets the most attention.</w:t>
      </w:r>
    </w:p>
    <w:p w:rsidR="00FA47D7" w:rsidRDefault="004D0B26" w:rsidP="000067C4">
      <w:pPr>
        <w:pStyle w:val="BodyText"/>
      </w:pPr>
      <w:r>
        <w:t>All transformations use the same inputs: (i) current book value (ii) earnings forecasts for the explicit forecast horizon</w:t>
      </w:r>
      <w:r w:rsidR="007E2A2B">
        <w:t xml:space="preserve"> of two years</w:t>
      </w:r>
      <w:r>
        <w:t xml:space="preserve">, (iii) dividend payout ratio, (iv) perpetual growth rate, and (v) cost of equity. </w:t>
      </w:r>
      <w:r w:rsidR="00E422CB">
        <w:t>Inputs (ii) and (iii) can be based on analyst forecasts</w:t>
      </w:r>
      <w:r w:rsidR="00A21808">
        <w:t xml:space="preserve">. Therefore, these transformations </w:t>
      </w:r>
      <w:r w:rsidR="00E422CB">
        <w:t xml:space="preserve">provide a quick way to connect equity value </w:t>
      </w:r>
      <w:r w:rsidR="00A21808">
        <w:t>to analyst</w:t>
      </w:r>
      <w:r w:rsidR="00E422CB">
        <w:t xml:space="preserve"> </w:t>
      </w:r>
      <w:r w:rsidR="00A21808">
        <w:t xml:space="preserve">forecasts. </w:t>
      </w:r>
      <w:r>
        <w:t xml:space="preserve"> </w:t>
      </w:r>
    </w:p>
    <w:p w:rsidR="000067C4" w:rsidRDefault="000067C4" w:rsidP="000067C4">
      <w:pPr>
        <w:pStyle w:val="BodyText"/>
      </w:pPr>
      <w:r>
        <w:t>There are two subsidiary spreadsheets with the following variation</w:t>
      </w:r>
      <w:r w:rsidR="00100709">
        <w:t>s</w:t>
      </w:r>
      <w:r>
        <w:t>:</w:t>
      </w:r>
    </w:p>
    <w:p w:rsidR="000067C4" w:rsidRDefault="000067C4" w:rsidP="000067C4">
      <w:pPr>
        <w:pStyle w:val="BodyText"/>
        <w:numPr>
          <w:ilvl w:val="0"/>
          <w:numId w:val="9"/>
        </w:numPr>
      </w:pPr>
      <w:r>
        <w:t xml:space="preserve">The first supplement has a four-year horizon instead of the two-year horizon. </w:t>
      </w:r>
      <w:r w:rsidR="00D301E6">
        <w:t>The longer horizon allows more flexibility in varying the pre-horizon growth rates. Therefore, i</w:t>
      </w:r>
      <w:r w:rsidR="001A519E">
        <w:t>t</w:t>
      </w:r>
      <w:r w:rsidR="00A642CF">
        <w:t xml:space="preserve"> is suitable for firms that will take longer to reach </w:t>
      </w:r>
      <w:r w:rsidR="00A22F8A">
        <w:t>the post-h</w:t>
      </w:r>
      <w:r w:rsidR="003754F5">
        <w:t>orizon growth rate because</w:t>
      </w:r>
      <w:r w:rsidR="00B166DB">
        <w:t>.</w:t>
      </w:r>
    </w:p>
    <w:p w:rsidR="000067C4" w:rsidRDefault="000067C4" w:rsidP="000067C4">
      <w:pPr>
        <w:pStyle w:val="BodyText"/>
        <w:numPr>
          <w:ilvl w:val="0"/>
          <w:numId w:val="10"/>
        </w:numPr>
      </w:pPr>
      <w:r>
        <w:t>The second supp</w:t>
      </w:r>
      <w:r w:rsidR="00D20143">
        <w:t xml:space="preserve">lement </w:t>
      </w:r>
      <w:r w:rsidR="006A3C13">
        <w:t>transforms</w:t>
      </w:r>
      <w:r w:rsidR="00D20143">
        <w:t xml:space="preserve"> DCF</w:t>
      </w:r>
      <w:r w:rsidR="006A3C13">
        <w:t xml:space="preserve"> rather than DDM.</w:t>
      </w:r>
      <w:r w:rsidR="00B608B0">
        <w:t xml:space="preserve"> </w:t>
      </w:r>
      <w:r w:rsidR="00844EA7">
        <w:t>It</w:t>
      </w:r>
      <w:r w:rsidR="00B608B0">
        <w:t xml:space="preserve"> </w:t>
      </w:r>
      <w:r w:rsidR="004D0B26" w:rsidRPr="004D0B26">
        <w:t>discount</w:t>
      </w:r>
      <w:r w:rsidR="00100709">
        <w:t>s</w:t>
      </w:r>
      <w:r w:rsidR="004D0B26" w:rsidRPr="004D0B26">
        <w:t xml:space="preserve"> wealth creation (enterprise cash flows) rather than wealt</w:t>
      </w:r>
      <w:r w:rsidR="00282CAB">
        <w:t>h distribution (dividends)</w:t>
      </w:r>
      <w:r w:rsidR="00B608B0">
        <w:t xml:space="preserve"> and </w:t>
      </w:r>
      <w:r>
        <w:t>replac</w:t>
      </w:r>
      <w:r w:rsidR="004D0B26">
        <w:t>e</w:t>
      </w:r>
      <w:r w:rsidR="003954CF">
        <w:t>s</w:t>
      </w:r>
      <w:r>
        <w:t xml:space="preserve"> the triplet {book value, earnings, dividends} with {net enterprise assets, enterprise profit after</w:t>
      </w:r>
      <w:r w:rsidR="00B266D3">
        <w:t xml:space="preserve"> taxes, enterprise cash flows} which are the</w:t>
      </w:r>
      <w:r w:rsidR="007E2A2B">
        <w:t>ir</w:t>
      </w:r>
      <w:r w:rsidR="00B266D3">
        <w:t xml:space="preserve"> unlevered counterparts.</w:t>
      </w:r>
      <w:r w:rsidR="003954CF">
        <w:t xml:space="preserve"> </w:t>
      </w:r>
      <w:r w:rsidR="009227B6">
        <w:t xml:space="preserve">The DCF model eliminates the need to forecast financial </w:t>
      </w:r>
      <w:r w:rsidR="009227B6" w:rsidRPr="004D0B26">
        <w:t xml:space="preserve">activities </w:t>
      </w:r>
      <w:r w:rsidR="009227B6">
        <w:t xml:space="preserve">by assuming that they have </w:t>
      </w:r>
      <w:r w:rsidR="009227B6" w:rsidRPr="004D0B26">
        <w:t>zero NPV</w:t>
      </w:r>
      <w:r w:rsidR="009227B6">
        <w:t>.</w:t>
      </w:r>
    </w:p>
    <w:p w:rsidR="00425585" w:rsidRDefault="00E371B6" w:rsidP="007537D6">
      <w:pPr>
        <w:pStyle w:val="Heading1"/>
      </w:pPr>
      <w:r>
        <w:t>The spreadsheet implementation of the three transformations</w:t>
      </w:r>
    </w:p>
    <w:p w:rsidR="00457478" w:rsidRDefault="00457478" w:rsidP="007537D6">
      <w:pPr>
        <w:pStyle w:val="Heading2"/>
      </w:pPr>
      <w:r>
        <w:t>Notation</w:t>
      </w:r>
    </w:p>
    <w:p w:rsidR="00552D27" w:rsidRDefault="00552D27" w:rsidP="00552D27">
      <w:r>
        <w:t>d</w:t>
      </w:r>
      <w:r w:rsidRPr="003001BA">
        <w:rPr>
          <w:vertAlign w:val="subscript"/>
        </w:rPr>
        <w:t>t</w:t>
      </w:r>
      <w:r>
        <w:t>: dividends for the period t-1 to t paid out at time t</w:t>
      </w:r>
    </w:p>
    <w:p w:rsidR="00552D27" w:rsidRDefault="00552D27" w:rsidP="00552D27">
      <w:r>
        <w:t>e</w:t>
      </w:r>
      <w:r w:rsidRPr="003001BA">
        <w:rPr>
          <w:vertAlign w:val="subscript"/>
        </w:rPr>
        <w:t>t</w:t>
      </w:r>
      <w:r>
        <w:t>: earnings for the period t-1 to t</w:t>
      </w:r>
    </w:p>
    <w:p w:rsidR="00552D27" w:rsidRDefault="00552D27" w:rsidP="00552D27">
      <w:r>
        <w:t>b</w:t>
      </w:r>
      <w:r w:rsidRPr="003001BA">
        <w:rPr>
          <w:vertAlign w:val="subscript"/>
        </w:rPr>
        <w:t>t</w:t>
      </w:r>
      <w:r>
        <w:t>: book value after dividends have been paid out at time t</w:t>
      </w:r>
    </w:p>
    <w:p w:rsidR="00552D27" w:rsidRDefault="00552D27" w:rsidP="00552D27">
      <w:r>
        <w:t>r</w:t>
      </w:r>
      <w:r w:rsidRPr="00504ACC">
        <w:rPr>
          <w:vertAlign w:val="subscript"/>
        </w:rPr>
        <w:t>e</w:t>
      </w:r>
      <w:r>
        <w:t>: cost of equity</w:t>
      </w:r>
    </w:p>
    <w:p w:rsidR="00713F70" w:rsidRDefault="00713F70" w:rsidP="00552D27">
      <w:r>
        <w:t xml:space="preserve">g: </w:t>
      </w:r>
      <w:r w:rsidR="007E631D">
        <w:t>perpetual growth rate in residual earnings</w:t>
      </w:r>
    </w:p>
    <w:p w:rsidR="00552D27" w:rsidRPr="00A21808" w:rsidRDefault="00552D27" w:rsidP="004D0B26">
      <w:pPr>
        <w:pStyle w:val="BodyText"/>
      </w:pPr>
      <w:r>
        <w:t>ROE</w:t>
      </w:r>
      <w:r w:rsidRPr="00504ACC">
        <w:rPr>
          <w:vertAlign w:val="subscript"/>
        </w:rPr>
        <w:t>t</w:t>
      </w:r>
      <w:r>
        <w:t xml:space="preserve">: return on equity for the period t-1 to t </w:t>
      </w:r>
      <w:r w:rsidR="00A21808">
        <w:t>[</w:t>
      </w:r>
      <w:r>
        <w:t>e</w:t>
      </w:r>
      <w:r w:rsidRPr="00504ACC">
        <w:rPr>
          <w:vertAlign w:val="subscript"/>
        </w:rPr>
        <w:t>t</w:t>
      </w:r>
      <w:r>
        <w:t>/b</w:t>
      </w:r>
      <w:r w:rsidRPr="00504ACC">
        <w:rPr>
          <w:vertAlign w:val="subscript"/>
        </w:rPr>
        <w:t>t-1</w:t>
      </w:r>
      <w:r w:rsidR="00A21808">
        <w:t>]</w:t>
      </w:r>
    </w:p>
    <w:p w:rsidR="00552D27" w:rsidRDefault="00552D27" w:rsidP="007537D6">
      <w:pPr>
        <w:pStyle w:val="Heading2"/>
      </w:pPr>
      <w:r>
        <w:lastRenderedPageBreak/>
        <w:t>Dividend discount model</w:t>
      </w:r>
      <w:r w:rsidR="00FC07BF">
        <w:t xml:space="preserve"> (DDM)</w:t>
      </w:r>
    </w:p>
    <w:p w:rsidR="0073596D" w:rsidRDefault="008A41B6" w:rsidP="00552D27">
      <w:pPr>
        <w:pStyle w:val="BodyText"/>
      </w:pPr>
      <w:r>
        <w:t>The spreadsheet</w:t>
      </w:r>
      <w:r w:rsidR="00DE3476">
        <w:t xml:space="preserve"> </w:t>
      </w:r>
      <w:r w:rsidR="000B0983">
        <w:t xml:space="preserve">starts with </w:t>
      </w:r>
      <w:r w:rsidR="00FC07BF">
        <w:t>DDM.</w:t>
      </w:r>
    </w:p>
    <w:tbl>
      <w:tblPr>
        <w:tblW w:w="0" w:type="auto"/>
        <w:tblInd w:w="115" w:type="dxa"/>
        <w:tblLook w:val="01E0" w:firstRow="1" w:lastRow="1" w:firstColumn="1" w:lastColumn="1" w:noHBand="0" w:noVBand="0"/>
      </w:tblPr>
      <w:tblGrid>
        <w:gridCol w:w="588"/>
        <w:gridCol w:w="1139"/>
        <w:gridCol w:w="341"/>
        <w:gridCol w:w="787"/>
        <w:gridCol w:w="341"/>
        <w:gridCol w:w="857"/>
        <w:gridCol w:w="341"/>
        <w:gridCol w:w="857"/>
        <w:gridCol w:w="341"/>
        <w:gridCol w:w="436"/>
      </w:tblGrid>
      <w:tr w:rsidR="005A589D" w:rsidTr="00552D27">
        <w:trPr>
          <w:cantSplit/>
        </w:trPr>
        <w:tc>
          <w:tcPr>
            <w:tcW w:w="0" w:type="auto"/>
          </w:tcPr>
          <w:p w:rsidR="005A589D" w:rsidRPr="00FE337A" w:rsidRDefault="005A589D" w:rsidP="008C573A">
            <w:pPr>
              <w:keepNext/>
              <w:jc w:val="center"/>
            </w:pPr>
            <w:r>
              <w:t>P</w:t>
            </w:r>
            <w:r w:rsidRPr="00FE337A">
              <w:rPr>
                <w:vertAlign w:val="subscript"/>
              </w:rPr>
              <w:t>0</w:t>
            </w:r>
            <w:r>
              <w:t xml:space="preserve"> =</w:t>
            </w:r>
          </w:p>
        </w:tc>
        <w:tc>
          <w:tcPr>
            <w:tcW w:w="0" w:type="auto"/>
          </w:tcPr>
          <w:p w:rsidR="005A589D" w:rsidRDefault="005A589D" w:rsidP="008C573A">
            <w:pPr>
              <w:keepNext/>
              <w:jc w:val="center"/>
            </w:pPr>
            <w:r>
              <w:t>0</w:t>
            </w:r>
          </w:p>
        </w:tc>
        <w:tc>
          <w:tcPr>
            <w:tcW w:w="0" w:type="auto"/>
          </w:tcPr>
          <w:p w:rsidR="005A589D" w:rsidRDefault="005A589D" w:rsidP="008C573A">
            <w:pPr>
              <w:keepNext/>
              <w:jc w:val="center"/>
            </w:pPr>
            <w:r>
              <w:t>+</w:t>
            </w:r>
          </w:p>
        </w:tc>
        <w:tc>
          <w:tcPr>
            <w:tcW w:w="0" w:type="auto"/>
            <w:tcBorders>
              <w:bottom w:val="single" w:sz="2" w:space="0" w:color="auto"/>
            </w:tcBorders>
          </w:tcPr>
          <w:p w:rsidR="005A589D" w:rsidRDefault="005A589D" w:rsidP="008C573A">
            <w:pPr>
              <w:keepNext/>
              <w:jc w:val="center"/>
            </w:pPr>
            <w:r>
              <w:t>d</w:t>
            </w:r>
            <w:r w:rsidRPr="00F1650E">
              <w:rPr>
                <w:vertAlign w:val="subscript"/>
              </w:rPr>
              <w:t>1</w:t>
            </w:r>
          </w:p>
        </w:tc>
        <w:tc>
          <w:tcPr>
            <w:tcW w:w="0" w:type="auto"/>
          </w:tcPr>
          <w:p w:rsidR="005A589D" w:rsidRDefault="005A589D" w:rsidP="008C573A">
            <w:pPr>
              <w:keepNext/>
              <w:jc w:val="center"/>
            </w:pPr>
            <w:r>
              <w:t>+</w:t>
            </w:r>
          </w:p>
        </w:tc>
        <w:tc>
          <w:tcPr>
            <w:tcW w:w="0" w:type="auto"/>
            <w:tcBorders>
              <w:bottom w:val="single" w:sz="2" w:space="0" w:color="auto"/>
            </w:tcBorders>
          </w:tcPr>
          <w:p w:rsidR="005A589D" w:rsidRDefault="005A589D" w:rsidP="008C573A">
            <w:pPr>
              <w:keepNext/>
              <w:jc w:val="center"/>
            </w:pPr>
            <w:r>
              <w:t>d</w:t>
            </w:r>
            <w:r>
              <w:rPr>
                <w:vertAlign w:val="subscript"/>
              </w:rPr>
              <w:t>2</w:t>
            </w:r>
          </w:p>
        </w:tc>
        <w:tc>
          <w:tcPr>
            <w:tcW w:w="0" w:type="auto"/>
          </w:tcPr>
          <w:p w:rsidR="005A589D" w:rsidRDefault="005A589D" w:rsidP="008C573A">
            <w:pPr>
              <w:keepNext/>
              <w:jc w:val="center"/>
            </w:pPr>
            <w:r>
              <w:t>+</w:t>
            </w:r>
          </w:p>
        </w:tc>
        <w:tc>
          <w:tcPr>
            <w:tcW w:w="0" w:type="auto"/>
            <w:tcBorders>
              <w:bottom w:val="single" w:sz="2" w:space="0" w:color="auto"/>
            </w:tcBorders>
          </w:tcPr>
          <w:p w:rsidR="005A589D" w:rsidRDefault="005A589D" w:rsidP="008C573A">
            <w:pPr>
              <w:keepNext/>
              <w:jc w:val="center"/>
            </w:pPr>
            <w:r>
              <w:t>d</w:t>
            </w:r>
            <w:r>
              <w:rPr>
                <w:vertAlign w:val="subscript"/>
              </w:rPr>
              <w:t>3</w:t>
            </w:r>
          </w:p>
        </w:tc>
        <w:tc>
          <w:tcPr>
            <w:tcW w:w="0" w:type="auto"/>
          </w:tcPr>
          <w:p w:rsidR="005A589D" w:rsidRDefault="005A589D" w:rsidP="008C573A">
            <w:pPr>
              <w:keepNext/>
              <w:jc w:val="center"/>
            </w:pPr>
            <w:r>
              <w:t>+</w:t>
            </w:r>
          </w:p>
        </w:tc>
        <w:tc>
          <w:tcPr>
            <w:tcW w:w="0" w:type="auto"/>
          </w:tcPr>
          <w:p w:rsidR="005A589D" w:rsidRDefault="005A589D" w:rsidP="008C573A">
            <w:pPr>
              <w:keepNext/>
              <w:jc w:val="center"/>
            </w:pPr>
            <w:r>
              <w:t>…</w:t>
            </w:r>
          </w:p>
        </w:tc>
      </w:tr>
      <w:tr w:rsidR="005A589D" w:rsidTr="00552D27">
        <w:trPr>
          <w:cantSplit/>
        </w:trPr>
        <w:tc>
          <w:tcPr>
            <w:tcW w:w="0" w:type="auto"/>
          </w:tcPr>
          <w:p w:rsidR="005A589D" w:rsidRDefault="005A589D" w:rsidP="008C573A">
            <w:pPr>
              <w:keepNext/>
              <w:jc w:val="center"/>
            </w:pPr>
          </w:p>
        </w:tc>
        <w:tc>
          <w:tcPr>
            <w:tcW w:w="0" w:type="auto"/>
          </w:tcPr>
          <w:p w:rsidR="005A589D" w:rsidRDefault="005A589D" w:rsidP="008C573A">
            <w:pPr>
              <w:keepNext/>
              <w:jc w:val="center"/>
            </w:pPr>
          </w:p>
        </w:tc>
        <w:tc>
          <w:tcPr>
            <w:tcW w:w="0" w:type="auto"/>
          </w:tcPr>
          <w:p w:rsidR="005A589D" w:rsidRDefault="005A589D" w:rsidP="008C573A">
            <w:pPr>
              <w:keepNext/>
              <w:jc w:val="center"/>
            </w:pPr>
          </w:p>
        </w:tc>
        <w:tc>
          <w:tcPr>
            <w:tcW w:w="0" w:type="auto"/>
            <w:tcBorders>
              <w:top w:val="single" w:sz="2" w:space="0" w:color="auto"/>
            </w:tcBorders>
          </w:tcPr>
          <w:p w:rsidR="005A589D" w:rsidRDefault="005A589D" w:rsidP="008C573A">
            <w:pPr>
              <w:keepNext/>
              <w:jc w:val="center"/>
            </w:pPr>
            <w:r>
              <w:t>(1+ r</w:t>
            </w:r>
            <w:r w:rsidRPr="00FE337A">
              <w:rPr>
                <w:vertAlign w:val="subscript"/>
              </w:rPr>
              <w:t>e</w:t>
            </w:r>
            <w:r>
              <w:t>)</w:t>
            </w:r>
          </w:p>
        </w:tc>
        <w:tc>
          <w:tcPr>
            <w:tcW w:w="0" w:type="auto"/>
          </w:tcPr>
          <w:p w:rsidR="005A589D" w:rsidRDefault="005A589D" w:rsidP="008C573A">
            <w:pPr>
              <w:keepNext/>
              <w:jc w:val="center"/>
            </w:pPr>
          </w:p>
        </w:tc>
        <w:tc>
          <w:tcPr>
            <w:tcW w:w="0" w:type="auto"/>
            <w:tcBorders>
              <w:top w:val="single" w:sz="2" w:space="0" w:color="auto"/>
            </w:tcBorders>
          </w:tcPr>
          <w:p w:rsidR="005A589D" w:rsidRDefault="005A589D" w:rsidP="008C573A">
            <w:pPr>
              <w:keepNext/>
              <w:jc w:val="center"/>
            </w:pPr>
            <w:r>
              <w:t>(1+ r</w:t>
            </w:r>
            <w:r w:rsidRPr="00FE337A">
              <w:rPr>
                <w:vertAlign w:val="subscript"/>
              </w:rPr>
              <w:t>e</w:t>
            </w:r>
            <w:r>
              <w:t>)</w:t>
            </w:r>
            <w:r w:rsidRPr="006C0208">
              <w:rPr>
                <w:vertAlign w:val="superscript"/>
              </w:rPr>
              <w:t>2</w:t>
            </w:r>
          </w:p>
        </w:tc>
        <w:tc>
          <w:tcPr>
            <w:tcW w:w="0" w:type="auto"/>
          </w:tcPr>
          <w:p w:rsidR="005A589D" w:rsidRDefault="005A589D" w:rsidP="008C573A">
            <w:pPr>
              <w:keepNext/>
              <w:jc w:val="center"/>
            </w:pPr>
          </w:p>
        </w:tc>
        <w:tc>
          <w:tcPr>
            <w:tcW w:w="0" w:type="auto"/>
            <w:tcBorders>
              <w:top w:val="single" w:sz="2" w:space="0" w:color="auto"/>
            </w:tcBorders>
          </w:tcPr>
          <w:p w:rsidR="005A589D" w:rsidRDefault="005A589D" w:rsidP="008C573A">
            <w:pPr>
              <w:keepNext/>
              <w:jc w:val="center"/>
            </w:pPr>
            <w:r>
              <w:t>(1+ r</w:t>
            </w:r>
            <w:r w:rsidRPr="00FE337A">
              <w:rPr>
                <w:vertAlign w:val="subscript"/>
              </w:rPr>
              <w:t>e</w:t>
            </w:r>
            <w:r>
              <w:t>)</w:t>
            </w:r>
            <w:r>
              <w:rPr>
                <w:vertAlign w:val="superscript"/>
              </w:rPr>
              <w:t>3</w:t>
            </w:r>
          </w:p>
        </w:tc>
        <w:tc>
          <w:tcPr>
            <w:tcW w:w="0" w:type="auto"/>
          </w:tcPr>
          <w:p w:rsidR="005A589D" w:rsidRDefault="005A589D" w:rsidP="008C573A">
            <w:pPr>
              <w:keepNext/>
              <w:jc w:val="center"/>
            </w:pPr>
          </w:p>
        </w:tc>
        <w:tc>
          <w:tcPr>
            <w:tcW w:w="0" w:type="auto"/>
          </w:tcPr>
          <w:p w:rsidR="005A589D" w:rsidRDefault="005A589D" w:rsidP="008C573A">
            <w:pPr>
              <w:keepNext/>
              <w:jc w:val="center"/>
            </w:pPr>
          </w:p>
        </w:tc>
      </w:tr>
      <w:tr w:rsidR="005A589D" w:rsidTr="00552D27">
        <w:trPr>
          <w:cantSplit/>
        </w:trPr>
        <w:tc>
          <w:tcPr>
            <w:tcW w:w="0" w:type="auto"/>
          </w:tcPr>
          <w:p w:rsidR="005A589D" w:rsidRDefault="005A589D" w:rsidP="008C573A">
            <w:pPr>
              <w:jc w:val="center"/>
            </w:pPr>
          </w:p>
        </w:tc>
        <w:tc>
          <w:tcPr>
            <w:tcW w:w="0" w:type="auto"/>
          </w:tcPr>
          <w:p w:rsidR="005A589D" w:rsidRDefault="005A589D" w:rsidP="008C573A">
            <w:pPr>
              <w:jc w:val="center"/>
            </w:pPr>
            <w:r>
              <w:t>No anchor</w:t>
            </w:r>
          </w:p>
        </w:tc>
        <w:tc>
          <w:tcPr>
            <w:tcW w:w="0" w:type="auto"/>
          </w:tcPr>
          <w:p w:rsidR="005A589D" w:rsidRDefault="005A589D" w:rsidP="008C573A">
            <w:pPr>
              <w:jc w:val="center"/>
            </w:pPr>
          </w:p>
        </w:tc>
        <w:tc>
          <w:tcPr>
            <w:tcW w:w="0" w:type="auto"/>
            <w:gridSpan w:val="3"/>
          </w:tcPr>
          <w:p w:rsidR="005A589D" w:rsidRDefault="005A589D" w:rsidP="008C573A">
            <w:pPr>
              <w:jc w:val="center"/>
            </w:pPr>
            <w:r>
              <w:t>Until horizon</w:t>
            </w:r>
          </w:p>
        </w:tc>
        <w:tc>
          <w:tcPr>
            <w:tcW w:w="0" w:type="auto"/>
          </w:tcPr>
          <w:p w:rsidR="005A589D" w:rsidRDefault="005A589D" w:rsidP="008C573A">
            <w:pPr>
              <w:jc w:val="center"/>
            </w:pPr>
          </w:p>
        </w:tc>
        <w:tc>
          <w:tcPr>
            <w:tcW w:w="0" w:type="auto"/>
            <w:gridSpan w:val="3"/>
          </w:tcPr>
          <w:p w:rsidR="005A589D" w:rsidRDefault="005A589D" w:rsidP="008C573A">
            <w:pPr>
              <w:jc w:val="center"/>
            </w:pPr>
            <w:r>
              <w:t>Beyond horizon</w:t>
            </w:r>
          </w:p>
        </w:tc>
      </w:tr>
    </w:tbl>
    <w:p w:rsidR="000B0983" w:rsidRDefault="00552D27" w:rsidP="007537D6">
      <w:pPr>
        <w:pStyle w:val="Heading2"/>
      </w:pPr>
      <w:r w:rsidRPr="00552D27">
        <w:t>Dividend growth model</w:t>
      </w:r>
    </w:p>
    <w:p w:rsidR="00501635" w:rsidRDefault="00F84E56" w:rsidP="00552D27">
      <w:pPr>
        <w:pStyle w:val="BodyText"/>
      </w:pPr>
      <w:r>
        <w:t>Why is dividend yield less than 1/r</w:t>
      </w:r>
      <w:r w:rsidRPr="00F84E56">
        <w:rPr>
          <w:vertAlign w:val="subscript"/>
        </w:rPr>
        <w:t>e</w:t>
      </w:r>
      <w:r>
        <w:t>? That is, why does price exceed capitalized dividends?</w:t>
      </w:r>
      <w:r w:rsidR="000F32AF">
        <w:t xml:space="preserve"> B</w:t>
      </w:r>
      <w:r>
        <w:t xml:space="preserve">ecause dividends are expected to grow. To capture this idea, </w:t>
      </w:r>
      <w:r w:rsidR="00E36EEE">
        <w:t xml:space="preserve">the dividend growth model </w:t>
      </w:r>
      <w:r w:rsidR="00DE3476">
        <w:t>shows that equity value</w:t>
      </w:r>
      <w:r w:rsidR="0035501B">
        <w:t xml:space="preserve"> (P</w:t>
      </w:r>
      <w:r w:rsidR="0035501B" w:rsidRPr="0035501B">
        <w:rPr>
          <w:vertAlign w:val="subscript"/>
        </w:rPr>
        <w:t>0</w:t>
      </w:r>
      <w:r w:rsidR="0035501B">
        <w:t>)</w:t>
      </w:r>
      <w:r w:rsidR="00DE3476">
        <w:t xml:space="preserve"> </w:t>
      </w:r>
      <w:r w:rsidR="00190C4F">
        <w:t>equals</w:t>
      </w:r>
      <w:r w:rsidR="00DE3476">
        <w:t xml:space="preserve"> </w:t>
      </w:r>
      <w:r w:rsidR="00501635">
        <w:t xml:space="preserve">capitalized </w:t>
      </w:r>
      <w:r w:rsidR="00E36EEE">
        <w:t xml:space="preserve">forthcoming </w:t>
      </w:r>
      <w:r w:rsidR="00501635">
        <w:t xml:space="preserve">dividends </w:t>
      </w:r>
      <w:r w:rsidR="0035501B">
        <w:t>(d</w:t>
      </w:r>
      <w:r w:rsidR="0035501B" w:rsidRPr="0035501B">
        <w:rPr>
          <w:vertAlign w:val="subscript"/>
        </w:rPr>
        <w:t>1</w:t>
      </w:r>
      <w:r w:rsidR="0035501B">
        <w:t>/r</w:t>
      </w:r>
      <w:r w:rsidR="0035501B" w:rsidRPr="0035501B">
        <w:rPr>
          <w:vertAlign w:val="subscript"/>
        </w:rPr>
        <w:t>e</w:t>
      </w:r>
      <w:r w:rsidR="0035501B">
        <w:t xml:space="preserve">) </w:t>
      </w:r>
      <w:r w:rsidR="00190C4F">
        <w:t>plus</w:t>
      </w:r>
      <w:r w:rsidR="00927430">
        <w:t xml:space="preserve"> the present value of subsequent </w:t>
      </w:r>
      <w:r w:rsidR="001F7354">
        <w:t xml:space="preserve">capitalized </w:t>
      </w:r>
      <w:r w:rsidR="00501635">
        <w:t xml:space="preserve">dividend </w:t>
      </w:r>
      <w:r w:rsidR="00927430">
        <w:t>increments</w:t>
      </w:r>
      <w:r w:rsidR="001F7354">
        <w:t xml:space="preserve"> [(d</w:t>
      </w:r>
      <w:r w:rsidR="001F7354" w:rsidRPr="001F7354">
        <w:rPr>
          <w:vertAlign w:val="subscript"/>
        </w:rPr>
        <w:t>2</w:t>
      </w:r>
      <w:r w:rsidR="001F7354">
        <w:t xml:space="preserve"> – d</w:t>
      </w:r>
      <w:r w:rsidR="001F7354" w:rsidRPr="001F7354">
        <w:rPr>
          <w:vertAlign w:val="subscript"/>
        </w:rPr>
        <w:t>1</w:t>
      </w:r>
      <w:r w:rsidR="001F7354">
        <w:t>)/r</w:t>
      </w:r>
      <w:r w:rsidR="001F7354" w:rsidRPr="001F7354">
        <w:rPr>
          <w:vertAlign w:val="subscript"/>
        </w:rPr>
        <w:t>e</w:t>
      </w:r>
      <w:r w:rsidR="001F7354">
        <w:t>]</w:t>
      </w:r>
      <w:r w:rsidR="00501635">
        <w:t>.</w:t>
      </w:r>
      <w:r w:rsidR="005A40BB">
        <w:t xml:space="preserve"> </w:t>
      </w:r>
      <w:r w:rsidR="00927430">
        <w:t>(</w:t>
      </w:r>
      <w:r w:rsidR="005A40BB">
        <w:t>Note</w:t>
      </w:r>
      <w:r w:rsidR="001864D9">
        <w:t xml:space="preserve">: </w:t>
      </w:r>
      <w:r w:rsidR="005046E0">
        <w:t>t</w:t>
      </w:r>
      <w:r w:rsidR="005A40BB">
        <w:t xml:space="preserve">his transformation differs </w:t>
      </w:r>
      <w:r w:rsidR="00A93285">
        <w:t xml:space="preserve">from the </w:t>
      </w:r>
      <w:r w:rsidR="001C5C9E">
        <w:t>so-called</w:t>
      </w:r>
      <w:r w:rsidR="00A93285">
        <w:t xml:space="preserve"> </w:t>
      </w:r>
      <w:r>
        <w:t>Gordon and Williams</w:t>
      </w:r>
      <w:r w:rsidR="00B96647">
        <w:t xml:space="preserve"> model</w:t>
      </w:r>
      <w:r>
        <w:t xml:space="preserve">, which assumes a </w:t>
      </w:r>
      <w:r w:rsidR="00B96647">
        <w:t xml:space="preserve">constant </w:t>
      </w:r>
      <w:r>
        <w:t>growth in dividends.)</w:t>
      </w:r>
    </w:p>
    <w:tbl>
      <w:tblPr>
        <w:tblW w:w="0" w:type="auto"/>
        <w:tblInd w:w="115" w:type="dxa"/>
        <w:tblLook w:val="01E0" w:firstRow="1" w:lastRow="1" w:firstColumn="1" w:lastColumn="1" w:noHBand="0" w:noVBand="0"/>
      </w:tblPr>
      <w:tblGrid>
        <w:gridCol w:w="588"/>
        <w:gridCol w:w="876"/>
        <w:gridCol w:w="341"/>
        <w:gridCol w:w="1396"/>
        <w:gridCol w:w="341"/>
        <w:gridCol w:w="1083"/>
        <w:gridCol w:w="341"/>
        <w:gridCol w:w="436"/>
      </w:tblGrid>
      <w:tr w:rsidR="005A589D" w:rsidTr="00552D27">
        <w:trPr>
          <w:cantSplit/>
        </w:trPr>
        <w:tc>
          <w:tcPr>
            <w:tcW w:w="0" w:type="auto"/>
          </w:tcPr>
          <w:p w:rsidR="005A589D" w:rsidRPr="00FE337A" w:rsidRDefault="005A589D" w:rsidP="008C573A">
            <w:pPr>
              <w:keepNext/>
              <w:jc w:val="center"/>
            </w:pPr>
            <w:r>
              <w:t>P</w:t>
            </w:r>
            <w:r w:rsidRPr="00FE337A">
              <w:rPr>
                <w:vertAlign w:val="subscript"/>
              </w:rPr>
              <w:t>0</w:t>
            </w:r>
            <w:r>
              <w:t xml:space="preserve"> =</w:t>
            </w:r>
          </w:p>
        </w:tc>
        <w:tc>
          <w:tcPr>
            <w:tcW w:w="0" w:type="auto"/>
            <w:tcBorders>
              <w:bottom w:val="single" w:sz="2" w:space="0" w:color="auto"/>
            </w:tcBorders>
          </w:tcPr>
          <w:p w:rsidR="005A589D" w:rsidRDefault="005A589D" w:rsidP="008C573A">
            <w:pPr>
              <w:keepNext/>
              <w:jc w:val="center"/>
            </w:pPr>
            <w:r>
              <w:t>d</w:t>
            </w:r>
            <w:r w:rsidRPr="00F1650E">
              <w:rPr>
                <w:vertAlign w:val="subscript"/>
              </w:rPr>
              <w:t>1</w:t>
            </w:r>
          </w:p>
        </w:tc>
        <w:tc>
          <w:tcPr>
            <w:tcW w:w="0" w:type="auto"/>
          </w:tcPr>
          <w:p w:rsidR="005A589D" w:rsidRDefault="005A589D" w:rsidP="008C573A">
            <w:pPr>
              <w:keepNext/>
              <w:jc w:val="center"/>
            </w:pPr>
            <w:r>
              <w:t>+</w:t>
            </w:r>
          </w:p>
        </w:tc>
        <w:tc>
          <w:tcPr>
            <w:tcW w:w="0" w:type="auto"/>
            <w:tcBorders>
              <w:bottom w:val="single" w:sz="2" w:space="0" w:color="auto"/>
            </w:tcBorders>
          </w:tcPr>
          <w:p w:rsidR="005A589D" w:rsidRDefault="005A589D" w:rsidP="008C573A">
            <w:pPr>
              <w:keepNext/>
              <w:jc w:val="center"/>
            </w:pPr>
            <w:r>
              <w:t>d</w:t>
            </w:r>
            <w:r>
              <w:rPr>
                <w:vertAlign w:val="subscript"/>
              </w:rPr>
              <w:t>2</w:t>
            </w:r>
            <w:r>
              <w:t>- d</w:t>
            </w:r>
            <w:r w:rsidRPr="00F1650E">
              <w:rPr>
                <w:vertAlign w:val="subscript"/>
              </w:rPr>
              <w:t>1</w:t>
            </w:r>
          </w:p>
        </w:tc>
        <w:tc>
          <w:tcPr>
            <w:tcW w:w="0" w:type="auto"/>
          </w:tcPr>
          <w:p w:rsidR="005A589D" w:rsidRDefault="005A589D" w:rsidP="008C573A">
            <w:pPr>
              <w:keepNext/>
              <w:jc w:val="center"/>
            </w:pPr>
            <w:r>
              <w:t>+</w:t>
            </w:r>
          </w:p>
        </w:tc>
        <w:tc>
          <w:tcPr>
            <w:tcW w:w="0" w:type="auto"/>
            <w:tcBorders>
              <w:bottom w:val="single" w:sz="2" w:space="0" w:color="auto"/>
            </w:tcBorders>
          </w:tcPr>
          <w:p w:rsidR="005A589D" w:rsidRDefault="005A589D" w:rsidP="008C573A">
            <w:pPr>
              <w:keepNext/>
              <w:jc w:val="center"/>
            </w:pPr>
            <w:r>
              <w:t>d</w:t>
            </w:r>
            <w:r>
              <w:rPr>
                <w:vertAlign w:val="subscript"/>
              </w:rPr>
              <w:t>3</w:t>
            </w:r>
            <w:r>
              <w:t>- d</w:t>
            </w:r>
            <w:r>
              <w:rPr>
                <w:vertAlign w:val="subscript"/>
              </w:rPr>
              <w:t>2</w:t>
            </w:r>
          </w:p>
        </w:tc>
        <w:tc>
          <w:tcPr>
            <w:tcW w:w="0" w:type="auto"/>
          </w:tcPr>
          <w:p w:rsidR="005A589D" w:rsidRDefault="005A589D" w:rsidP="008C573A">
            <w:pPr>
              <w:keepNext/>
              <w:jc w:val="center"/>
            </w:pPr>
            <w:r>
              <w:t>+</w:t>
            </w:r>
          </w:p>
        </w:tc>
        <w:tc>
          <w:tcPr>
            <w:tcW w:w="0" w:type="auto"/>
          </w:tcPr>
          <w:p w:rsidR="005A589D" w:rsidRDefault="005A589D" w:rsidP="008C573A">
            <w:pPr>
              <w:keepNext/>
              <w:jc w:val="center"/>
            </w:pPr>
            <w:r>
              <w:t>…</w:t>
            </w:r>
          </w:p>
        </w:tc>
      </w:tr>
      <w:tr w:rsidR="005A589D" w:rsidTr="00552D27">
        <w:trPr>
          <w:cantSplit/>
        </w:trPr>
        <w:tc>
          <w:tcPr>
            <w:tcW w:w="0" w:type="auto"/>
          </w:tcPr>
          <w:p w:rsidR="005A589D" w:rsidRDefault="005A589D" w:rsidP="008C573A">
            <w:pPr>
              <w:keepNext/>
              <w:jc w:val="center"/>
            </w:pPr>
          </w:p>
        </w:tc>
        <w:tc>
          <w:tcPr>
            <w:tcW w:w="0" w:type="auto"/>
            <w:tcBorders>
              <w:top w:val="single" w:sz="2" w:space="0" w:color="auto"/>
            </w:tcBorders>
          </w:tcPr>
          <w:p w:rsidR="005A589D" w:rsidRDefault="005A589D" w:rsidP="008C573A">
            <w:pPr>
              <w:keepNext/>
              <w:jc w:val="center"/>
            </w:pPr>
            <w:r>
              <w:t>r</w:t>
            </w:r>
            <w:r w:rsidRPr="00FE337A">
              <w:rPr>
                <w:vertAlign w:val="subscript"/>
              </w:rPr>
              <w:t>e</w:t>
            </w:r>
          </w:p>
        </w:tc>
        <w:tc>
          <w:tcPr>
            <w:tcW w:w="0" w:type="auto"/>
          </w:tcPr>
          <w:p w:rsidR="005A589D" w:rsidRDefault="005A589D" w:rsidP="008C573A">
            <w:pPr>
              <w:keepNext/>
              <w:jc w:val="center"/>
            </w:pPr>
          </w:p>
        </w:tc>
        <w:tc>
          <w:tcPr>
            <w:tcW w:w="0" w:type="auto"/>
            <w:tcBorders>
              <w:top w:val="single" w:sz="2" w:space="0" w:color="auto"/>
            </w:tcBorders>
          </w:tcPr>
          <w:p w:rsidR="005A589D" w:rsidRDefault="005A589D" w:rsidP="008C573A">
            <w:pPr>
              <w:keepNext/>
              <w:jc w:val="center"/>
            </w:pPr>
            <w:r>
              <w:t>r</w:t>
            </w:r>
            <w:r w:rsidRPr="00FE337A">
              <w:rPr>
                <w:vertAlign w:val="subscript"/>
              </w:rPr>
              <w:t>e</w:t>
            </w:r>
            <w:r>
              <w:t xml:space="preserve"> (1+ r</w:t>
            </w:r>
            <w:r w:rsidRPr="00FE337A">
              <w:rPr>
                <w:vertAlign w:val="subscript"/>
              </w:rPr>
              <w:t>e</w:t>
            </w:r>
            <w:r>
              <w:t>)</w:t>
            </w:r>
          </w:p>
        </w:tc>
        <w:tc>
          <w:tcPr>
            <w:tcW w:w="0" w:type="auto"/>
          </w:tcPr>
          <w:p w:rsidR="005A589D" w:rsidRDefault="005A589D" w:rsidP="008C573A">
            <w:pPr>
              <w:keepNext/>
              <w:jc w:val="center"/>
            </w:pPr>
          </w:p>
        </w:tc>
        <w:tc>
          <w:tcPr>
            <w:tcW w:w="0" w:type="auto"/>
            <w:tcBorders>
              <w:top w:val="single" w:sz="2" w:space="0" w:color="auto"/>
            </w:tcBorders>
          </w:tcPr>
          <w:p w:rsidR="005A589D" w:rsidRDefault="005A589D" w:rsidP="008C573A">
            <w:pPr>
              <w:keepNext/>
              <w:jc w:val="center"/>
            </w:pPr>
            <w:r>
              <w:t>r</w:t>
            </w:r>
            <w:r w:rsidRPr="00FE337A">
              <w:rPr>
                <w:vertAlign w:val="subscript"/>
              </w:rPr>
              <w:t>e</w:t>
            </w:r>
            <w:r>
              <w:t xml:space="preserve"> (1+ r</w:t>
            </w:r>
            <w:r w:rsidRPr="00FE337A">
              <w:rPr>
                <w:vertAlign w:val="subscript"/>
              </w:rPr>
              <w:t>e</w:t>
            </w:r>
            <w:r>
              <w:t>)</w:t>
            </w:r>
            <w:r w:rsidRPr="00AB0B1C">
              <w:rPr>
                <w:vertAlign w:val="superscript"/>
              </w:rPr>
              <w:t xml:space="preserve"> 2</w:t>
            </w:r>
          </w:p>
        </w:tc>
        <w:tc>
          <w:tcPr>
            <w:tcW w:w="0" w:type="auto"/>
          </w:tcPr>
          <w:p w:rsidR="005A589D" w:rsidRDefault="005A589D" w:rsidP="008C573A">
            <w:pPr>
              <w:keepNext/>
              <w:jc w:val="center"/>
            </w:pPr>
          </w:p>
        </w:tc>
        <w:tc>
          <w:tcPr>
            <w:tcW w:w="0" w:type="auto"/>
          </w:tcPr>
          <w:p w:rsidR="005A589D" w:rsidRDefault="005A589D" w:rsidP="008C573A">
            <w:pPr>
              <w:keepNext/>
              <w:jc w:val="center"/>
            </w:pPr>
          </w:p>
        </w:tc>
      </w:tr>
      <w:tr w:rsidR="005A589D" w:rsidTr="00552D27">
        <w:trPr>
          <w:cantSplit/>
        </w:trPr>
        <w:tc>
          <w:tcPr>
            <w:tcW w:w="0" w:type="auto"/>
          </w:tcPr>
          <w:p w:rsidR="005A589D" w:rsidRDefault="005A589D" w:rsidP="008C573A">
            <w:pPr>
              <w:jc w:val="center"/>
            </w:pPr>
          </w:p>
        </w:tc>
        <w:tc>
          <w:tcPr>
            <w:tcW w:w="0" w:type="auto"/>
          </w:tcPr>
          <w:p w:rsidR="005A589D" w:rsidRDefault="005A589D" w:rsidP="008C573A">
            <w:pPr>
              <w:jc w:val="center"/>
            </w:pPr>
            <w:r>
              <w:t>Anchor</w:t>
            </w:r>
          </w:p>
        </w:tc>
        <w:tc>
          <w:tcPr>
            <w:tcW w:w="0" w:type="auto"/>
          </w:tcPr>
          <w:p w:rsidR="005A589D" w:rsidRDefault="005A589D" w:rsidP="008C573A">
            <w:pPr>
              <w:jc w:val="center"/>
            </w:pPr>
          </w:p>
        </w:tc>
        <w:tc>
          <w:tcPr>
            <w:tcW w:w="0" w:type="auto"/>
          </w:tcPr>
          <w:p w:rsidR="005A589D" w:rsidRDefault="005A589D" w:rsidP="008C573A">
            <w:pPr>
              <w:jc w:val="center"/>
            </w:pPr>
            <w:r>
              <w:t>Until horizon</w:t>
            </w:r>
          </w:p>
        </w:tc>
        <w:tc>
          <w:tcPr>
            <w:tcW w:w="0" w:type="auto"/>
          </w:tcPr>
          <w:p w:rsidR="005A589D" w:rsidRDefault="005A589D" w:rsidP="008C573A">
            <w:pPr>
              <w:jc w:val="center"/>
            </w:pPr>
          </w:p>
        </w:tc>
        <w:tc>
          <w:tcPr>
            <w:tcW w:w="0" w:type="auto"/>
            <w:gridSpan w:val="3"/>
          </w:tcPr>
          <w:p w:rsidR="005A589D" w:rsidRDefault="005A589D" w:rsidP="008C573A">
            <w:pPr>
              <w:jc w:val="center"/>
            </w:pPr>
            <w:r>
              <w:t>Beyond horizon</w:t>
            </w:r>
          </w:p>
        </w:tc>
      </w:tr>
    </w:tbl>
    <w:p w:rsidR="00552D27" w:rsidRDefault="001F7354" w:rsidP="007537D6">
      <w:pPr>
        <w:pStyle w:val="Heading2"/>
      </w:pPr>
      <w:r>
        <w:t>Book value growth model (</w:t>
      </w:r>
      <w:r w:rsidR="00552D27">
        <w:t>a.k.a.</w:t>
      </w:r>
      <w:r>
        <w:t xml:space="preserve"> residual income valuation (RIV) model)</w:t>
      </w:r>
    </w:p>
    <w:p w:rsidR="00102EF8" w:rsidRDefault="00552D27" w:rsidP="00102EF8">
      <w:pPr>
        <w:pStyle w:val="BodyText"/>
      </w:pPr>
      <w:r>
        <w:t>Why does price exceed book value</w:t>
      </w:r>
      <w:r w:rsidR="00F84E56">
        <w:t xml:space="preserve">? </w:t>
      </w:r>
      <w:r w:rsidR="005644E9">
        <w:t>B</w:t>
      </w:r>
      <w:r w:rsidR="00102EF8">
        <w:t>ecause of</w:t>
      </w:r>
      <w:r w:rsidR="00F84E56">
        <w:t xml:space="preserve"> </w:t>
      </w:r>
      <w:r w:rsidR="001C5C9E">
        <w:t>residual</w:t>
      </w:r>
      <w:r w:rsidR="00102EF8">
        <w:t xml:space="preserve"> expected growth in book value. One measures </w:t>
      </w:r>
      <w:r w:rsidR="001C5C9E">
        <w:t xml:space="preserve">residual </w:t>
      </w:r>
      <w:r w:rsidR="00102EF8">
        <w:t xml:space="preserve">growth in book value </w:t>
      </w:r>
      <w:r w:rsidR="001C5C9E">
        <w:t>as follows:</w:t>
      </w:r>
    </w:p>
    <w:p w:rsidR="00102EF8" w:rsidRPr="00102EF8" w:rsidRDefault="0034661C" w:rsidP="00102EF8">
      <w:pPr>
        <w:pStyle w:val="BodyText"/>
        <w:numPr>
          <w:ilvl w:val="0"/>
          <w:numId w:val="17"/>
        </w:numPr>
      </w:pPr>
      <w:r>
        <w:t>Compute</w:t>
      </w:r>
      <w:r w:rsidR="00102EF8">
        <w:t xml:space="preserve"> what the ending book value </w:t>
      </w:r>
      <w:r w:rsidR="00B04BAE" w:rsidRPr="00F716A2">
        <w:rPr>
          <w:rStyle w:val="Italicize"/>
        </w:rPr>
        <w:t>would have been</w:t>
      </w:r>
      <w:r w:rsidR="00102EF8">
        <w:t xml:space="preserve"> before dividends</w:t>
      </w:r>
      <w:r>
        <w:t xml:space="preserve">: </w:t>
      </w:r>
      <w:r w:rsidR="00102EF8">
        <w:t xml:space="preserve">Cum-dividend book value = </w:t>
      </w:r>
      <w:r w:rsidR="00102EF8" w:rsidRPr="00485E3B">
        <w:t>b</w:t>
      </w:r>
      <w:r w:rsidR="00102EF8" w:rsidRPr="00485E3B">
        <w:rPr>
          <w:vertAlign w:val="subscript"/>
        </w:rPr>
        <w:t>t</w:t>
      </w:r>
      <w:r w:rsidR="00102EF8">
        <w:t xml:space="preserve"> +</w:t>
      </w:r>
      <w:r w:rsidR="00102EF8" w:rsidRPr="00485E3B">
        <w:t xml:space="preserve"> d</w:t>
      </w:r>
      <w:r w:rsidR="00102EF8" w:rsidRPr="00485E3B">
        <w:rPr>
          <w:vertAlign w:val="subscript"/>
        </w:rPr>
        <w:t>t</w:t>
      </w:r>
      <w:r w:rsidR="00896799">
        <w:t>.</w:t>
      </w:r>
    </w:p>
    <w:p w:rsidR="00102EF8" w:rsidRDefault="00102EF8" w:rsidP="001C5C9E">
      <w:pPr>
        <w:pStyle w:val="BodyText"/>
        <w:numPr>
          <w:ilvl w:val="0"/>
          <w:numId w:val="17"/>
        </w:numPr>
      </w:pPr>
      <w:r>
        <w:t xml:space="preserve">Subtract what the ending </w:t>
      </w:r>
      <w:r w:rsidR="009F10CC">
        <w:t xml:space="preserve">cum-dividend </w:t>
      </w:r>
      <w:r>
        <w:t xml:space="preserve">book value </w:t>
      </w:r>
      <w:r w:rsidRPr="00F716A2">
        <w:rPr>
          <w:rStyle w:val="Italicize"/>
        </w:rPr>
        <w:t>would have been</w:t>
      </w:r>
      <w:r>
        <w:t xml:space="preserve"> had the firm earned a </w:t>
      </w:r>
      <w:r w:rsidR="001C5C9E">
        <w:t>normal return on its book value</w:t>
      </w:r>
      <w:r w:rsidR="00EE1AB0">
        <w:t xml:space="preserve"> =</w:t>
      </w:r>
      <w:r w:rsidR="001C5C9E">
        <w:t xml:space="preserve"> </w:t>
      </w:r>
      <w:r>
        <w:t>(1 + r</w:t>
      </w:r>
      <w:r>
        <w:rPr>
          <w:vertAlign w:val="subscript"/>
        </w:rPr>
        <w:t>e</w:t>
      </w:r>
      <w:r>
        <w:t>)*b</w:t>
      </w:r>
      <w:r>
        <w:rPr>
          <w:vertAlign w:val="subscript"/>
        </w:rPr>
        <w:t>t-1</w:t>
      </w:r>
      <w:r w:rsidR="00896799">
        <w:t>.</w:t>
      </w:r>
    </w:p>
    <w:p w:rsidR="00A93285" w:rsidRDefault="0034661C" w:rsidP="001C5C9E">
      <w:pPr>
        <w:pStyle w:val="BodyText"/>
        <w:numPr>
          <w:ilvl w:val="0"/>
          <w:numId w:val="17"/>
        </w:numPr>
      </w:pPr>
      <w:r>
        <w:t>R</w:t>
      </w:r>
      <w:r w:rsidR="00A93285">
        <w:t>esidual change in book value =</w:t>
      </w:r>
      <w:r w:rsidR="001C5C9E">
        <w:t xml:space="preserve"> (</w:t>
      </w:r>
      <w:r w:rsidR="001C5C9E" w:rsidRPr="00485E3B">
        <w:t>b</w:t>
      </w:r>
      <w:r w:rsidR="001C5C9E" w:rsidRPr="00485E3B">
        <w:rPr>
          <w:vertAlign w:val="subscript"/>
        </w:rPr>
        <w:t>t</w:t>
      </w:r>
      <w:r w:rsidR="001C5C9E">
        <w:t xml:space="preserve"> +</w:t>
      </w:r>
      <w:r w:rsidR="001C5C9E" w:rsidRPr="00485E3B">
        <w:t xml:space="preserve"> d</w:t>
      </w:r>
      <w:r w:rsidR="001C5C9E" w:rsidRPr="00485E3B">
        <w:rPr>
          <w:vertAlign w:val="subscript"/>
        </w:rPr>
        <w:t>t</w:t>
      </w:r>
      <w:r w:rsidR="001C5C9E">
        <w:t>) - (1 + r</w:t>
      </w:r>
      <w:r w:rsidR="001C5C9E">
        <w:rPr>
          <w:vertAlign w:val="subscript"/>
        </w:rPr>
        <w:t>e</w:t>
      </w:r>
      <w:r w:rsidR="001C5C9E">
        <w:t>)*b</w:t>
      </w:r>
      <w:r w:rsidR="001C5C9E">
        <w:rPr>
          <w:vertAlign w:val="subscript"/>
        </w:rPr>
        <w:t>t-1</w:t>
      </w:r>
      <w:r w:rsidR="001C5C9E">
        <w:t>.</w:t>
      </w:r>
    </w:p>
    <w:p w:rsidR="00F84E56" w:rsidRDefault="00F84E56" w:rsidP="00E17185">
      <w:pPr>
        <w:pStyle w:val="BodyText"/>
      </w:pPr>
      <w:r>
        <w:t>To explain the price to book ratio, the book value growth model shows that e</w:t>
      </w:r>
      <w:r w:rsidR="00DA5823">
        <w:t>quity value equals book value</w:t>
      </w:r>
      <w:r>
        <w:t xml:space="preserve"> plus the present value of r</w:t>
      </w:r>
      <w:r w:rsidR="00DA5823">
        <w:t>esidual changes in book value</w:t>
      </w:r>
      <w:r w:rsidR="00E17185">
        <w:t>.</w:t>
      </w:r>
    </w:p>
    <w:tbl>
      <w:tblPr>
        <w:tblW w:w="0" w:type="auto"/>
        <w:tblInd w:w="115" w:type="dxa"/>
        <w:tblLook w:val="01E0" w:firstRow="1" w:lastRow="1" w:firstColumn="1" w:lastColumn="1" w:noHBand="0" w:noVBand="0"/>
      </w:tblPr>
      <w:tblGrid>
        <w:gridCol w:w="588"/>
        <w:gridCol w:w="876"/>
        <w:gridCol w:w="341"/>
        <w:gridCol w:w="1947"/>
        <w:gridCol w:w="341"/>
        <w:gridCol w:w="1927"/>
        <w:gridCol w:w="341"/>
        <w:gridCol w:w="1927"/>
      </w:tblGrid>
      <w:tr w:rsidR="005A589D" w:rsidTr="00184E80">
        <w:trPr>
          <w:cantSplit/>
        </w:trPr>
        <w:tc>
          <w:tcPr>
            <w:tcW w:w="0" w:type="auto"/>
          </w:tcPr>
          <w:p w:rsidR="005A589D" w:rsidRPr="00FE337A" w:rsidRDefault="005A589D" w:rsidP="008C573A">
            <w:pPr>
              <w:keepNext/>
              <w:jc w:val="center"/>
            </w:pPr>
            <w:r>
              <w:t>P</w:t>
            </w:r>
            <w:r w:rsidRPr="00FE337A">
              <w:rPr>
                <w:vertAlign w:val="subscript"/>
              </w:rPr>
              <w:t>0</w:t>
            </w:r>
            <w:r>
              <w:t xml:space="preserve"> =</w:t>
            </w:r>
          </w:p>
        </w:tc>
        <w:tc>
          <w:tcPr>
            <w:tcW w:w="0" w:type="auto"/>
          </w:tcPr>
          <w:p w:rsidR="005A589D" w:rsidRDefault="005A589D" w:rsidP="008C573A">
            <w:pPr>
              <w:keepNext/>
              <w:jc w:val="center"/>
            </w:pPr>
            <w:r>
              <w:t>b</w:t>
            </w:r>
            <w:r w:rsidRPr="006C0208">
              <w:rPr>
                <w:vertAlign w:val="subscript"/>
              </w:rPr>
              <w:t>0</w:t>
            </w:r>
          </w:p>
        </w:tc>
        <w:tc>
          <w:tcPr>
            <w:tcW w:w="0" w:type="auto"/>
          </w:tcPr>
          <w:p w:rsidR="005A589D" w:rsidRDefault="005A589D" w:rsidP="008C573A">
            <w:pPr>
              <w:keepNext/>
              <w:jc w:val="center"/>
            </w:pPr>
            <w:r>
              <w:t>+</w:t>
            </w:r>
          </w:p>
        </w:tc>
        <w:tc>
          <w:tcPr>
            <w:tcW w:w="0" w:type="auto"/>
            <w:tcBorders>
              <w:bottom w:val="single" w:sz="2" w:space="0" w:color="auto"/>
            </w:tcBorders>
          </w:tcPr>
          <w:p w:rsidR="005A589D" w:rsidRDefault="005A589D" w:rsidP="008C573A">
            <w:pPr>
              <w:keepNext/>
              <w:jc w:val="center"/>
            </w:pPr>
            <w:r>
              <w:t>b</w:t>
            </w:r>
            <w:r w:rsidRPr="00251DE5">
              <w:rPr>
                <w:vertAlign w:val="subscript"/>
              </w:rPr>
              <w:t>1</w:t>
            </w:r>
            <w:r>
              <w:t xml:space="preserve"> +</w:t>
            </w:r>
            <w:r w:rsidR="003269F5">
              <w:t xml:space="preserve"> </w:t>
            </w:r>
            <w:r>
              <w:t>d</w:t>
            </w:r>
            <w:r w:rsidRPr="00251DE5">
              <w:rPr>
                <w:vertAlign w:val="subscript"/>
              </w:rPr>
              <w:t>1</w:t>
            </w:r>
            <w:r>
              <w:t xml:space="preserve"> – (1+ r</w:t>
            </w:r>
            <w:r w:rsidRPr="004550F3">
              <w:rPr>
                <w:vertAlign w:val="subscript"/>
              </w:rPr>
              <w:t>e</w:t>
            </w:r>
            <w:r>
              <w:t>)* b</w:t>
            </w:r>
            <w:r w:rsidRPr="006C0208">
              <w:rPr>
                <w:vertAlign w:val="subscript"/>
              </w:rPr>
              <w:t>0</w:t>
            </w:r>
            <w:r w:rsidR="003269F5">
              <w:t xml:space="preserve"> </w:t>
            </w:r>
          </w:p>
        </w:tc>
        <w:tc>
          <w:tcPr>
            <w:tcW w:w="0" w:type="auto"/>
          </w:tcPr>
          <w:p w:rsidR="005A589D" w:rsidRDefault="005A589D" w:rsidP="008C573A">
            <w:pPr>
              <w:keepNext/>
              <w:jc w:val="center"/>
            </w:pPr>
            <w:r>
              <w:t>+</w:t>
            </w:r>
          </w:p>
        </w:tc>
        <w:tc>
          <w:tcPr>
            <w:tcW w:w="0" w:type="auto"/>
            <w:tcBorders>
              <w:bottom w:val="single" w:sz="2" w:space="0" w:color="auto"/>
            </w:tcBorders>
          </w:tcPr>
          <w:p w:rsidR="005A589D" w:rsidRDefault="005A589D" w:rsidP="008C573A">
            <w:pPr>
              <w:keepNext/>
              <w:jc w:val="center"/>
            </w:pPr>
            <w:r>
              <w:t>b</w:t>
            </w:r>
            <w:r>
              <w:rPr>
                <w:vertAlign w:val="subscript"/>
              </w:rPr>
              <w:t>2</w:t>
            </w:r>
            <w:r>
              <w:t xml:space="preserve"> +</w:t>
            </w:r>
            <w:r w:rsidR="003269F5">
              <w:t xml:space="preserve"> </w:t>
            </w:r>
            <w:r>
              <w:t>d</w:t>
            </w:r>
            <w:r>
              <w:rPr>
                <w:vertAlign w:val="subscript"/>
              </w:rPr>
              <w:t xml:space="preserve">2 </w:t>
            </w:r>
            <w:r>
              <w:t>– (1+ r</w:t>
            </w:r>
            <w:r w:rsidRPr="004550F3">
              <w:rPr>
                <w:vertAlign w:val="subscript"/>
              </w:rPr>
              <w:t>e</w:t>
            </w:r>
            <w:r>
              <w:t>)* b</w:t>
            </w:r>
            <w:r>
              <w:rPr>
                <w:vertAlign w:val="subscript"/>
              </w:rPr>
              <w:t>1</w:t>
            </w:r>
          </w:p>
        </w:tc>
        <w:tc>
          <w:tcPr>
            <w:tcW w:w="0" w:type="auto"/>
          </w:tcPr>
          <w:p w:rsidR="005A589D" w:rsidRDefault="005A589D" w:rsidP="008C573A">
            <w:pPr>
              <w:keepNext/>
              <w:jc w:val="center"/>
            </w:pPr>
            <w:r>
              <w:t>+</w:t>
            </w:r>
          </w:p>
        </w:tc>
        <w:tc>
          <w:tcPr>
            <w:tcW w:w="0" w:type="auto"/>
            <w:tcBorders>
              <w:bottom w:val="single" w:sz="2" w:space="0" w:color="auto"/>
            </w:tcBorders>
          </w:tcPr>
          <w:p w:rsidR="005A589D" w:rsidRDefault="005A589D" w:rsidP="008C573A">
            <w:pPr>
              <w:keepNext/>
              <w:jc w:val="center"/>
            </w:pPr>
            <w:r>
              <w:t>b</w:t>
            </w:r>
            <w:r>
              <w:rPr>
                <w:vertAlign w:val="subscript"/>
              </w:rPr>
              <w:t>3</w:t>
            </w:r>
            <w:r>
              <w:t xml:space="preserve"> +</w:t>
            </w:r>
            <w:r w:rsidR="003269F5">
              <w:t xml:space="preserve"> </w:t>
            </w:r>
            <w:r>
              <w:t>d</w:t>
            </w:r>
            <w:r w:rsidR="006704F2">
              <w:rPr>
                <w:vertAlign w:val="subscript"/>
              </w:rPr>
              <w:t>3</w:t>
            </w:r>
            <w:r>
              <w:rPr>
                <w:vertAlign w:val="subscript"/>
              </w:rPr>
              <w:t xml:space="preserve"> </w:t>
            </w:r>
            <w:r>
              <w:t>– (1+ r</w:t>
            </w:r>
            <w:r w:rsidRPr="004550F3">
              <w:rPr>
                <w:vertAlign w:val="subscript"/>
              </w:rPr>
              <w:t>e</w:t>
            </w:r>
            <w:r>
              <w:t>)* b</w:t>
            </w:r>
            <w:r>
              <w:rPr>
                <w:vertAlign w:val="subscript"/>
              </w:rPr>
              <w:t>2</w:t>
            </w:r>
          </w:p>
        </w:tc>
      </w:tr>
      <w:tr w:rsidR="005A589D" w:rsidTr="00184E80">
        <w:trPr>
          <w:cantSplit/>
        </w:trPr>
        <w:tc>
          <w:tcPr>
            <w:tcW w:w="0" w:type="auto"/>
          </w:tcPr>
          <w:p w:rsidR="005A589D" w:rsidRDefault="005A589D" w:rsidP="008C573A">
            <w:pPr>
              <w:keepNext/>
              <w:jc w:val="center"/>
            </w:pPr>
          </w:p>
        </w:tc>
        <w:tc>
          <w:tcPr>
            <w:tcW w:w="0" w:type="auto"/>
          </w:tcPr>
          <w:p w:rsidR="005A589D" w:rsidRDefault="005A589D" w:rsidP="008C573A">
            <w:pPr>
              <w:keepNext/>
              <w:jc w:val="center"/>
            </w:pPr>
          </w:p>
        </w:tc>
        <w:tc>
          <w:tcPr>
            <w:tcW w:w="0" w:type="auto"/>
          </w:tcPr>
          <w:p w:rsidR="005A589D" w:rsidRDefault="005A589D" w:rsidP="008C573A">
            <w:pPr>
              <w:keepNext/>
              <w:jc w:val="center"/>
            </w:pPr>
          </w:p>
        </w:tc>
        <w:tc>
          <w:tcPr>
            <w:tcW w:w="0" w:type="auto"/>
            <w:tcBorders>
              <w:top w:val="single" w:sz="2" w:space="0" w:color="auto"/>
            </w:tcBorders>
          </w:tcPr>
          <w:p w:rsidR="005A589D" w:rsidRDefault="005A589D" w:rsidP="008C573A">
            <w:pPr>
              <w:keepNext/>
              <w:jc w:val="center"/>
            </w:pPr>
            <w:r>
              <w:t>(1+ r</w:t>
            </w:r>
            <w:r w:rsidRPr="00FE337A">
              <w:rPr>
                <w:vertAlign w:val="subscript"/>
              </w:rPr>
              <w:t>e</w:t>
            </w:r>
            <w:r>
              <w:t>)</w:t>
            </w:r>
          </w:p>
        </w:tc>
        <w:tc>
          <w:tcPr>
            <w:tcW w:w="0" w:type="auto"/>
          </w:tcPr>
          <w:p w:rsidR="005A589D" w:rsidRDefault="005A589D" w:rsidP="008C573A">
            <w:pPr>
              <w:keepNext/>
              <w:jc w:val="center"/>
            </w:pPr>
          </w:p>
        </w:tc>
        <w:tc>
          <w:tcPr>
            <w:tcW w:w="0" w:type="auto"/>
            <w:tcBorders>
              <w:top w:val="single" w:sz="2" w:space="0" w:color="auto"/>
            </w:tcBorders>
          </w:tcPr>
          <w:p w:rsidR="005A589D" w:rsidRDefault="005A589D" w:rsidP="008C573A">
            <w:pPr>
              <w:keepNext/>
              <w:jc w:val="center"/>
            </w:pPr>
            <w:r>
              <w:t>(1+ r</w:t>
            </w:r>
            <w:r w:rsidRPr="00FE337A">
              <w:rPr>
                <w:vertAlign w:val="subscript"/>
              </w:rPr>
              <w:t>e</w:t>
            </w:r>
            <w:r>
              <w:t>)</w:t>
            </w:r>
            <w:r w:rsidRPr="006C0208">
              <w:rPr>
                <w:vertAlign w:val="superscript"/>
              </w:rPr>
              <w:t>2</w:t>
            </w:r>
          </w:p>
        </w:tc>
        <w:tc>
          <w:tcPr>
            <w:tcW w:w="0" w:type="auto"/>
          </w:tcPr>
          <w:p w:rsidR="005A589D" w:rsidRDefault="005A589D" w:rsidP="008C573A">
            <w:pPr>
              <w:keepNext/>
              <w:jc w:val="center"/>
            </w:pPr>
          </w:p>
        </w:tc>
        <w:tc>
          <w:tcPr>
            <w:tcW w:w="0" w:type="auto"/>
            <w:tcBorders>
              <w:top w:val="single" w:sz="2" w:space="0" w:color="auto"/>
            </w:tcBorders>
          </w:tcPr>
          <w:p w:rsidR="005A589D" w:rsidRDefault="005A589D" w:rsidP="008C573A">
            <w:pPr>
              <w:keepNext/>
              <w:jc w:val="center"/>
            </w:pPr>
            <w:r>
              <w:t>(r</w:t>
            </w:r>
            <w:r w:rsidRPr="00FE337A">
              <w:rPr>
                <w:vertAlign w:val="subscript"/>
              </w:rPr>
              <w:t>e</w:t>
            </w:r>
            <w:r>
              <w:t xml:space="preserve"> -g) (1+ r</w:t>
            </w:r>
            <w:r w:rsidRPr="00FE337A">
              <w:rPr>
                <w:vertAlign w:val="subscript"/>
              </w:rPr>
              <w:t>e</w:t>
            </w:r>
            <w:r>
              <w:t>)</w:t>
            </w:r>
            <w:r w:rsidRPr="006C0208">
              <w:rPr>
                <w:vertAlign w:val="superscript"/>
              </w:rPr>
              <w:t>2</w:t>
            </w:r>
          </w:p>
        </w:tc>
      </w:tr>
      <w:tr w:rsidR="005A589D" w:rsidTr="00184E80">
        <w:trPr>
          <w:cantSplit/>
        </w:trPr>
        <w:tc>
          <w:tcPr>
            <w:tcW w:w="0" w:type="auto"/>
          </w:tcPr>
          <w:p w:rsidR="005A589D" w:rsidRDefault="005A589D" w:rsidP="008C573A">
            <w:pPr>
              <w:jc w:val="center"/>
            </w:pPr>
          </w:p>
        </w:tc>
        <w:tc>
          <w:tcPr>
            <w:tcW w:w="0" w:type="auto"/>
          </w:tcPr>
          <w:p w:rsidR="005A589D" w:rsidRDefault="005A589D" w:rsidP="008C573A">
            <w:pPr>
              <w:jc w:val="center"/>
            </w:pPr>
            <w:r>
              <w:t>Anchor</w:t>
            </w:r>
          </w:p>
        </w:tc>
        <w:tc>
          <w:tcPr>
            <w:tcW w:w="0" w:type="auto"/>
          </w:tcPr>
          <w:p w:rsidR="005A589D" w:rsidRDefault="005A589D" w:rsidP="008C573A">
            <w:pPr>
              <w:jc w:val="center"/>
            </w:pPr>
          </w:p>
        </w:tc>
        <w:tc>
          <w:tcPr>
            <w:tcW w:w="0" w:type="auto"/>
            <w:gridSpan w:val="3"/>
          </w:tcPr>
          <w:p w:rsidR="005A589D" w:rsidRDefault="005A589D" w:rsidP="008C573A">
            <w:pPr>
              <w:jc w:val="center"/>
            </w:pPr>
            <w:r>
              <w:t>Until horizon</w:t>
            </w:r>
          </w:p>
        </w:tc>
        <w:tc>
          <w:tcPr>
            <w:tcW w:w="0" w:type="auto"/>
          </w:tcPr>
          <w:p w:rsidR="005A589D" w:rsidRDefault="005A589D" w:rsidP="008C573A">
            <w:pPr>
              <w:jc w:val="center"/>
            </w:pPr>
          </w:p>
        </w:tc>
        <w:tc>
          <w:tcPr>
            <w:tcW w:w="0" w:type="auto"/>
          </w:tcPr>
          <w:p w:rsidR="005A589D" w:rsidRDefault="005A589D" w:rsidP="008C573A">
            <w:pPr>
              <w:jc w:val="center"/>
            </w:pPr>
            <w:r>
              <w:t>Beyond horizon</w:t>
            </w:r>
          </w:p>
        </w:tc>
      </w:tr>
    </w:tbl>
    <w:p w:rsidR="006C32ED" w:rsidRDefault="006C32ED" w:rsidP="00E17185"/>
    <w:p w:rsidR="001864D9" w:rsidRPr="00B00CF2" w:rsidRDefault="001C5C9E" w:rsidP="001864D9">
      <w:pPr>
        <w:pStyle w:val="BodyText"/>
      </w:pPr>
      <w:r w:rsidRPr="001C5C9E">
        <w:t>The analysis can be augmented</w:t>
      </w:r>
      <w:r w:rsidR="000F3726">
        <w:t xml:space="preserve"> if </w:t>
      </w:r>
      <w:r w:rsidR="001864D9">
        <w:t>e</w:t>
      </w:r>
      <w:r w:rsidR="001864D9" w:rsidRPr="00485E3B">
        <w:rPr>
          <w:vertAlign w:val="subscript"/>
        </w:rPr>
        <w:t>t</w:t>
      </w:r>
      <w:r w:rsidR="001864D9" w:rsidRPr="00485E3B">
        <w:t xml:space="preserve"> </w:t>
      </w:r>
      <w:r w:rsidR="001864D9">
        <w:t xml:space="preserve">= </w:t>
      </w:r>
      <w:r w:rsidR="001864D9" w:rsidRPr="00485E3B">
        <w:t>b</w:t>
      </w:r>
      <w:r w:rsidR="001864D9" w:rsidRPr="00485E3B">
        <w:rPr>
          <w:vertAlign w:val="subscript"/>
        </w:rPr>
        <w:t>t</w:t>
      </w:r>
      <w:r w:rsidR="001864D9">
        <w:t xml:space="preserve"> +</w:t>
      </w:r>
      <w:r w:rsidR="001864D9" w:rsidRPr="00485E3B">
        <w:t xml:space="preserve"> d</w:t>
      </w:r>
      <w:r w:rsidR="001864D9" w:rsidRPr="00485E3B">
        <w:rPr>
          <w:vertAlign w:val="subscript"/>
        </w:rPr>
        <w:t>t</w:t>
      </w:r>
      <w:r w:rsidR="001864D9">
        <w:t xml:space="preserve"> - </w:t>
      </w:r>
      <w:r w:rsidR="001864D9" w:rsidRPr="00485E3B">
        <w:t>b</w:t>
      </w:r>
      <w:r w:rsidR="001864D9" w:rsidRPr="00485E3B">
        <w:rPr>
          <w:vertAlign w:val="subscript"/>
        </w:rPr>
        <w:t>t-1</w:t>
      </w:r>
      <w:r w:rsidR="000F3726">
        <w:t xml:space="preserve">. </w:t>
      </w:r>
      <w:r w:rsidR="005A624E">
        <w:t>[</w:t>
      </w:r>
      <w:r w:rsidR="000F3726">
        <w:t>This relation is called the clean surplus relation.</w:t>
      </w:r>
      <w:r w:rsidR="005A624E">
        <w:t>]</w:t>
      </w:r>
    </w:p>
    <w:p w:rsidR="001864D9" w:rsidRPr="00B00CF2" w:rsidRDefault="001C5C9E" w:rsidP="001864D9">
      <w:pPr>
        <w:pStyle w:val="BodyText"/>
      </w:pPr>
      <w:r>
        <w:t>Now, r</w:t>
      </w:r>
      <w:r w:rsidR="001864D9">
        <w:t>esidual change in book value = e</w:t>
      </w:r>
      <w:r w:rsidR="001864D9" w:rsidRPr="00485E3B">
        <w:rPr>
          <w:vertAlign w:val="subscript"/>
        </w:rPr>
        <w:t>t</w:t>
      </w:r>
      <w:r w:rsidR="001864D9">
        <w:t xml:space="preserve"> + </w:t>
      </w:r>
      <w:r w:rsidR="001864D9" w:rsidRPr="00485E3B">
        <w:t>b</w:t>
      </w:r>
      <w:r w:rsidR="001864D9" w:rsidRPr="00485E3B">
        <w:rPr>
          <w:vertAlign w:val="subscript"/>
        </w:rPr>
        <w:t>t-1</w:t>
      </w:r>
      <w:r w:rsidR="001864D9">
        <w:t xml:space="preserve"> - (1 + r</w:t>
      </w:r>
      <w:r w:rsidR="001864D9">
        <w:rPr>
          <w:vertAlign w:val="subscript"/>
        </w:rPr>
        <w:t>e</w:t>
      </w:r>
      <w:r w:rsidR="001864D9">
        <w:t>)*b</w:t>
      </w:r>
      <w:r w:rsidR="001864D9">
        <w:rPr>
          <w:vertAlign w:val="subscript"/>
        </w:rPr>
        <w:t>t-1</w:t>
      </w:r>
      <w:r w:rsidR="001864D9">
        <w:t xml:space="preserve"> = e</w:t>
      </w:r>
      <w:r w:rsidR="001864D9" w:rsidRPr="00485E3B">
        <w:rPr>
          <w:vertAlign w:val="subscript"/>
        </w:rPr>
        <w:t>t</w:t>
      </w:r>
      <w:r w:rsidR="001864D9">
        <w:t xml:space="preserve">  - r</w:t>
      </w:r>
      <w:r w:rsidR="001864D9">
        <w:rPr>
          <w:vertAlign w:val="subscript"/>
        </w:rPr>
        <w:t>e</w:t>
      </w:r>
      <w:r w:rsidR="001864D9">
        <w:t>*b</w:t>
      </w:r>
      <w:r w:rsidR="001864D9">
        <w:rPr>
          <w:vertAlign w:val="subscript"/>
        </w:rPr>
        <w:t>t-1</w:t>
      </w:r>
      <w:r w:rsidR="001864D9">
        <w:t xml:space="preserve"> = residual earnings</w:t>
      </w:r>
      <w:r>
        <w:t>.</w:t>
      </w:r>
    </w:p>
    <w:p w:rsidR="001864D9" w:rsidRPr="001C5C9E" w:rsidRDefault="001C5C9E" w:rsidP="001864D9">
      <w:pPr>
        <w:pStyle w:val="BodyText"/>
      </w:pPr>
      <w:r>
        <w:t>R</w:t>
      </w:r>
      <w:r w:rsidR="001864D9">
        <w:t>esidual earnings</w:t>
      </w:r>
      <w:r>
        <w:t xml:space="preserve"> &gt; 0 if e</w:t>
      </w:r>
      <w:r w:rsidRPr="00485E3B">
        <w:rPr>
          <w:vertAlign w:val="subscript"/>
        </w:rPr>
        <w:t>t</w:t>
      </w:r>
      <w:r>
        <w:t xml:space="preserve">  &gt; r</w:t>
      </w:r>
      <w:r>
        <w:rPr>
          <w:vertAlign w:val="subscript"/>
        </w:rPr>
        <w:t>e</w:t>
      </w:r>
      <w:r>
        <w:t>*b</w:t>
      </w:r>
      <w:r>
        <w:rPr>
          <w:vertAlign w:val="subscript"/>
        </w:rPr>
        <w:t>t-1</w:t>
      </w:r>
      <w:r>
        <w:t>, or e</w:t>
      </w:r>
      <w:r w:rsidRPr="00485E3B">
        <w:rPr>
          <w:vertAlign w:val="subscript"/>
        </w:rPr>
        <w:t>t</w:t>
      </w:r>
      <w:r>
        <w:t>/</w:t>
      </w:r>
      <w:r w:rsidRPr="001C5C9E">
        <w:t xml:space="preserve"> </w:t>
      </w:r>
      <w:r>
        <w:t>b</w:t>
      </w:r>
      <w:r>
        <w:rPr>
          <w:vertAlign w:val="subscript"/>
        </w:rPr>
        <w:t>t-1</w:t>
      </w:r>
      <w:r>
        <w:t xml:space="preserve">  &gt; r</w:t>
      </w:r>
      <w:r>
        <w:rPr>
          <w:vertAlign w:val="subscript"/>
        </w:rPr>
        <w:t>e</w:t>
      </w:r>
      <w:r>
        <w:t>. Since ROE</w:t>
      </w:r>
      <w:r w:rsidRPr="00EA29DE">
        <w:rPr>
          <w:vertAlign w:val="subscript"/>
        </w:rPr>
        <w:t>t</w:t>
      </w:r>
      <w:r>
        <w:t xml:space="preserve"> =  e</w:t>
      </w:r>
      <w:r w:rsidRPr="00485E3B">
        <w:rPr>
          <w:vertAlign w:val="subscript"/>
        </w:rPr>
        <w:t>t</w:t>
      </w:r>
      <w:r>
        <w:t>/</w:t>
      </w:r>
      <w:r w:rsidRPr="001C5C9E">
        <w:t xml:space="preserve"> </w:t>
      </w:r>
      <w:r>
        <w:t>b</w:t>
      </w:r>
      <w:r>
        <w:rPr>
          <w:vertAlign w:val="subscript"/>
        </w:rPr>
        <w:t>t-1</w:t>
      </w:r>
      <w:r>
        <w:t xml:space="preserve">, residual earnings are positive if </w:t>
      </w:r>
      <w:r w:rsidRPr="001C5C9E">
        <w:t>ROE exceeds its earnings rate benchmark r</w:t>
      </w:r>
      <w:r w:rsidRPr="001C5C9E">
        <w:rPr>
          <w:vertAlign w:val="subscript"/>
        </w:rPr>
        <w:t>e</w:t>
      </w:r>
      <w:r w:rsidRPr="001C5C9E">
        <w:t>.</w:t>
      </w:r>
    </w:p>
    <w:p w:rsidR="00DA5823" w:rsidRDefault="00EE17E2" w:rsidP="00B72266">
      <w:pPr>
        <w:pStyle w:val="BodyText"/>
      </w:pPr>
      <w:r>
        <w:t>The price to book ratio</w:t>
      </w:r>
      <w:r w:rsidR="00DA5823">
        <w:t xml:space="preserve"> exceeds 1 when ROE exceeds r</w:t>
      </w:r>
      <w:r w:rsidR="00DA5823" w:rsidRPr="00DA5823">
        <w:rPr>
          <w:vertAlign w:val="subscript"/>
        </w:rPr>
        <w:t>e</w:t>
      </w:r>
      <w:r w:rsidR="00DA5823">
        <w:t>.</w:t>
      </w:r>
      <w:r>
        <w:t xml:space="preserve"> </w:t>
      </w:r>
      <w:r w:rsidR="00DA5823">
        <w:t>This can happen because of two reasons: (i) a</w:t>
      </w:r>
      <w:r>
        <w:t xml:space="preserve">ccounting conservatism </w:t>
      </w:r>
      <w:r w:rsidR="00DA5823">
        <w:t>c</w:t>
      </w:r>
      <w:r w:rsidR="00B72266">
        <w:t xml:space="preserve">auses ROE to </w:t>
      </w:r>
      <w:r w:rsidR="00DA5823">
        <w:t xml:space="preserve">exceed </w:t>
      </w:r>
      <w:r w:rsidR="00A440AB">
        <w:t>the economic return (</w:t>
      </w:r>
      <w:r w:rsidR="00C54739">
        <w:t xml:space="preserve">cash flow </w:t>
      </w:r>
      <w:r w:rsidR="00A440AB">
        <w:t>IRR)</w:t>
      </w:r>
      <w:r w:rsidR="00DA5823">
        <w:t>, and (2)</w:t>
      </w:r>
      <w:r>
        <w:t xml:space="preserve"> </w:t>
      </w:r>
      <w:r w:rsidR="00B72266">
        <w:t xml:space="preserve">competitive advantage causes IRR to </w:t>
      </w:r>
      <w:r w:rsidR="00DA5823">
        <w:t>exceed</w:t>
      </w:r>
      <w:r>
        <w:t xml:space="preserve"> </w:t>
      </w:r>
      <w:r w:rsidR="00B72266">
        <w:t>r</w:t>
      </w:r>
      <w:r w:rsidR="00B72266" w:rsidRPr="00B72266">
        <w:rPr>
          <w:vertAlign w:val="subscript"/>
        </w:rPr>
        <w:t>e</w:t>
      </w:r>
      <w:r>
        <w:t>. Thus, a</w:t>
      </w:r>
      <w:r w:rsidR="00B72266">
        <w:t xml:space="preserve">ccounting conservatism can cause price to book ratio to exceed 1 even if the firm has lost its competitive advantage. </w:t>
      </w:r>
    </w:p>
    <w:p w:rsidR="00E17185" w:rsidRDefault="00EE17E2" w:rsidP="00B72266">
      <w:pPr>
        <w:pStyle w:val="BodyText"/>
      </w:pPr>
      <w:r>
        <w:t xml:space="preserve">Accounting conservatism affects book value but not price because the effect of any bias in book value is offset by a </w:t>
      </w:r>
      <w:r w:rsidR="006C32ED">
        <w:t xml:space="preserve">compensating </w:t>
      </w:r>
      <w:r>
        <w:t xml:space="preserve">change </w:t>
      </w:r>
      <w:r w:rsidR="006C32ED">
        <w:t>in residual earnings</w:t>
      </w:r>
      <w:r w:rsidR="000F44D3">
        <w:t xml:space="preserve"> (or residual change in book value).</w:t>
      </w:r>
    </w:p>
    <w:p w:rsidR="001D07EE" w:rsidRDefault="001F7354" w:rsidP="007537D6">
      <w:pPr>
        <w:pStyle w:val="Heading2"/>
      </w:pPr>
      <w:r>
        <w:t>Earnings growth model (</w:t>
      </w:r>
      <w:r w:rsidR="007537D6">
        <w:t>aka</w:t>
      </w:r>
      <w:r>
        <w:t xml:space="preserve"> abnormal earnings growth (AEG)</w:t>
      </w:r>
      <w:r w:rsidR="00472DF5" w:rsidRPr="00472DF5">
        <w:t xml:space="preserve"> </w:t>
      </w:r>
      <w:r w:rsidR="00472DF5">
        <w:t>model)</w:t>
      </w:r>
    </w:p>
    <w:p w:rsidR="00123995" w:rsidRDefault="00123995" w:rsidP="006C32ED">
      <w:pPr>
        <w:pStyle w:val="BodyText"/>
      </w:pPr>
      <w:r>
        <w:t xml:space="preserve">Why does price exceed capitalized forward earnings? </w:t>
      </w:r>
      <w:r w:rsidR="005644E9">
        <w:t>B</w:t>
      </w:r>
      <w:r>
        <w:t>ecause</w:t>
      </w:r>
      <w:r w:rsidR="00B02707">
        <w:t xml:space="preserve"> expected </w:t>
      </w:r>
      <w:r>
        <w:t>residual change in earnings</w:t>
      </w:r>
      <w:r w:rsidR="00B02707">
        <w:t xml:space="preserve"> is positive. </w:t>
      </w:r>
      <w:r w:rsidR="00353D41">
        <w:t xml:space="preserve">This </w:t>
      </w:r>
      <w:r w:rsidR="001F2F16">
        <w:t xml:space="preserve">new measure is defined as </w:t>
      </w:r>
      <w:r w:rsidR="00B02707">
        <w:t>follows</w:t>
      </w:r>
      <w:r>
        <w:t>:</w:t>
      </w:r>
    </w:p>
    <w:p w:rsidR="0074274D" w:rsidRDefault="0074274D" w:rsidP="00B02707">
      <w:pPr>
        <w:pStyle w:val="BodyText"/>
        <w:numPr>
          <w:ilvl w:val="0"/>
          <w:numId w:val="18"/>
        </w:numPr>
      </w:pPr>
      <w:r>
        <w:t>Earnings retained and reinvested</w:t>
      </w:r>
      <w:r w:rsidR="00EE1AB0">
        <w:t xml:space="preserve"> in the firm </w:t>
      </w:r>
      <w:r>
        <w:t>= e</w:t>
      </w:r>
      <w:r w:rsidRPr="002654CD">
        <w:rPr>
          <w:vertAlign w:val="subscript"/>
        </w:rPr>
        <w:t>t-1</w:t>
      </w:r>
      <w:r>
        <w:t>- d</w:t>
      </w:r>
      <w:r w:rsidRPr="002654CD">
        <w:rPr>
          <w:vertAlign w:val="subscript"/>
        </w:rPr>
        <w:t>t-1</w:t>
      </w:r>
    </w:p>
    <w:p w:rsidR="0074274D" w:rsidRDefault="00EE1AB0" w:rsidP="00B02707">
      <w:pPr>
        <w:pStyle w:val="BodyText"/>
        <w:numPr>
          <w:ilvl w:val="0"/>
          <w:numId w:val="18"/>
        </w:numPr>
      </w:pPr>
      <w:r>
        <w:t>Had the reinvestment yielded a normal return, the c</w:t>
      </w:r>
      <w:r w:rsidR="0074274D">
        <w:t>hange in earnings expected = r</w:t>
      </w:r>
      <w:r w:rsidR="0074274D" w:rsidRPr="003001BA">
        <w:rPr>
          <w:vertAlign w:val="subscript"/>
        </w:rPr>
        <w:t>e</w:t>
      </w:r>
      <w:r w:rsidR="0074274D">
        <w:t>*(e</w:t>
      </w:r>
      <w:r w:rsidR="0074274D" w:rsidRPr="002654CD">
        <w:rPr>
          <w:vertAlign w:val="subscript"/>
        </w:rPr>
        <w:t>t-1</w:t>
      </w:r>
      <w:r w:rsidR="0074274D">
        <w:t>- d</w:t>
      </w:r>
      <w:r w:rsidR="0074274D" w:rsidRPr="002654CD">
        <w:rPr>
          <w:vertAlign w:val="subscript"/>
        </w:rPr>
        <w:t>t-1</w:t>
      </w:r>
      <w:r w:rsidR="0074274D">
        <w:t>)</w:t>
      </w:r>
    </w:p>
    <w:p w:rsidR="0074274D" w:rsidRDefault="0074274D" w:rsidP="00B02707">
      <w:pPr>
        <w:pStyle w:val="BodyText"/>
        <w:numPr>
          <w:ilvl w:val="0"/>
          <w:numId w:val="18"/>
        </w:numPr>
      </w:pPr>
      <w:r>
        <w:t>Actual change in earnings = e</w:t>
      </w:r>
      <w:r w:rsidRPr="002654CD">
        <w:rPr>
          <w:vertAlign w:val="subscript"/>
        </w:rPr>
        <w:t>t</w:t>
      </w:r>
      <w:r>
        <w:t xml:space="preserve"> – e</w:t>
      </w:r>
      <w:r w:rsidRPr="002654CD">
        <w:rPr>
          <w:vertAlign w:val="subscript"/>
        </w:rPr>
        <w:t>t-1</w:t>
      </w:r>
    </w:p>
    <w:p w:rsidR="00123995" w:rsidRDefault="0074274D" w:rsidP="0074274D">
      <w:pPr>
        <w:pStyle w:val="BodyText"/>
        <w:numPr>
          <w:ilvl w:val="0"/>
          <w:numId w:val="18"/>
        </w:numPr>
      </w:pPr>
      <w:r>
        <w:t>Residual or abnormal change in earnings = e</w:t>
      </w:r>
      <w:r w:rsidRPr="002654CD">
        <w:rPr>
          <w:vertAlign w:val="subscript"/>
        </w:rPr>
        <w:t>t</w:t>
      </w:r>
      <w:r>
        <w:t xml:space="preserve"> – e</w:t>
      </w:r>
      <w:r w:rsidRPr="002654CD">
        <w:rPr>
          <w:vertAlign w:val="subscript"/>
        </w:rPr>
        <w:t>t-1</w:t>
      </w:r>
      <w:r>
        <w:t xml:space="preserve"> – r</w:t>
      </w:r>
      <w:r w:rsidRPr="003001BA">
        <w:rPr>
          <w:vertAlign w:val="subscript"/>
        </w:rPr>
        <w:t>e</w:t>
      </w:r>
      <w:r>
        <w:t>*(e</w:t>
      </w:r>
      <w:r w:rsidRPr="002654CD">
        <w:rPr>
          <w:vertAlign w:val="subscript"/>
        </w:rPr>
        <w:t>t-1</w:t>
      </w:r>
      <w:r>
        <w:t>- d</w:t>
      </w:r>
      <w:r w:rsidRPr="002654CD">
        <w:rPr>
          <w:vertAlign w:val="subscript"/>
        </w:rPr>
        <w:t>t-1</w:t>
      </w:r>
      <w:r>
        <w:t>)</w:t>
      </w:r>
    </w:p>
    <w:p w:rsidR="00BB266E" w:rsidRDefault="00B70636" w:rsidP="006C32ED">
      <w:pPr>
        <w:pStyle w:val="BodyText"/>
      </w:pPr>
      <w:r>
        <w:t>T</w:t>
      </w:r>
      <w:r w:rsidR="00501635">
        <w:t xml:space="preserve">o </w:t>
      </w:r>
      <w:r w:rsidR="00DE3476">
        <w:t>explain</w:t>
      </w:r>
      <w:r w:rsidR="00501635">
        <w:t xml:space="preserve"> the forward PE ratio, </w:t>
      </w:r>
      <w:r>
        <w:t xml:space="preserve">the earnings growth model </w:t>
      </w:r>
      <w:r w:rsidR="00DE3476">
        <w:t>shows that equity value</w:t>
      </w:r>
      <w:r w:rsidR="00190C4F">
        <w:t xml:space="preserve"> equals </w:t>
      </w:r>
      <w:r w:rsidR="00501635">
        <w:t xml:space="preserve">capitalized forthcoming earnings </w:t>
      </w:r>
      <w:r w:rsidR="00BD5187">
        <w:t>(e</w:t>
      </w:r>
      <w:r w:rsidR="00BD5187" w:rsidRPr="00BD5187">
        <w:rPr>
          <w:vertAlign w:val="subscript"/>
        </w:rPr>
        <w:t>1</w:t>
      </w:r>
      <w:r w:rsidR="00BD5187">
        <w:t>/r</w:t>
      </w:r>
      <w:r w:rsidR="00BD5187" w:rsidRPr="00BD5187">
        <w:rPr>
          <w:vertAlign w:val="subscript"/>
        </w:rPr>
        <w:t>e</w:t>
      </w:r>
      <w:r w:rsidR="00BD5187">
        <w:t xml:space="preserve">) </w:t>
      </w:r>
      <w:r w:rsidR="00DE3476">
        <w:t xml:space="preserve">plus </w:t>
      </w:r>
      <w:r w:rsidR="00BD5187">
        <w:t>the present value</w:t>
      </w:r>
      <w:r w:rsidR="00A440AB">
        <w:t xml:space="preserve"> of capitalized residual change</w:t>
      </w:r>
      <w:r w:rsidR="00BD5187">
        <w:t xml:space="preserve"> in earnings.</w:t>
      </w:r>
      <w:r w:rsidR="003269F5">
        <w:t xml:space="preserve"> </w:t>
      </w:r>
    </w:p>
    <w:tbl>
      <w:tblPr>
        <w:tblW w:w="0" w:type="auto"/>
        <w:tblInd w:w="115" w:type="dxa"/>
        <w:tblLook w:val="01E0" w:firstRow="1" w:lastRow="1" w:firstColumn="1" w:lastColumn="1" w:noHBand="0" w:noVBand="0"/>
      </w:tblPr>
      <w:tblGrid>
        <w:gridCol w:w="588"/>
        <w:gridCol w:w="876"/>
        <w:gridCol w:w="341"/>
        <w:gridCol w:w="1805"/>
        <w:gridCol w:w="341"/>
        <w:gridCol w:w="1805"/>
      </w:tblGrid>
      <w:tr w:rsidR="005A589D" w:rsidTr="00457478">
        <w:trPr>
          <w:cantSplit/>
        </w:trPr>
        <w:tc>
          <w:tcPr>
            <w:tcW w:w="0" w:type="auto"/>
          </w:tcPr>
          <w:p w:rsidR="005A589D" w:rsidRPr="00FE337A" w:rsidRDefault="005A589D" w:rsidP="008C573A">
            <w:pPr>
              <w:keepNext/>
              <w:jc w:val="center"/>
            </w:pPr>
            <w:r>
              <w:t>P</w:t>
            </w:r>
            <w:r w:rsidRPr="00FE337A">
              <w:rPr>
                <w:vertAlign w:val="subscript"/>
              </w:rPr>
              <w:t>0</w:t>
            </w:r>
            <w:r>
              <w:t xml:space="preserve"> =</w:t>
            </w:r>
          </w:p>
        </w:tc>
        <w:tc>
          <w:tcPr>
            <w:tcW w:w="0" w:type="auto"/>
            <w:tcBorders>
              <w:bottom w:val="single" w:sz="2" w:space="0" w:color="auto"/>
            </w:tcBorders>
          </w:tcPr>
          <w:p w:rsidR="005A589D" w:rsidRDefault="005A589D" w:rsidP="008C573A">
            <w:pPr>
              <w:keepNext/>
              <w:jc w:val="center"/>
            </w:pPr>
            <w:r>
              <w:t>e</w:t>
            </w:r>
            <w:r w:rsidRPr="00F1650E">
              <w:rPr>
                <w:vertAlign w:val="subscript"/>
              </w:rPr>
              <w:t>1</w:t>
            </w:r>
          </w:p>
        </w:tc>
        <w:tc>
          <w:tcPr>
            <w:tcW w:w="0" w:type="auto"/>
          </w:tcPr>
          <w:p w:rsidR="005A589D" w:rsidRDefault="005A589D" w:rsidP="008C573A">
            <w:pPr>
              <w:keepNext/>
              <w:jc w:val="center"/>
            </w:pPr>
            <w:r>
              <w:t>+</w:t>
            </w:r>
          </w:p>
        </w:tc>
        <w:tc>
          <w:tcPr>
            <w:tcW w:w="0" w:type="auto"/>
            <w:tcBorders>
              <w:bottom w:val="single" w:sz="2" w:space="0" w:color="auto"/>
            </w:tcBorders>
          </w:tcPr>
          <w:p w:rsidR="005A589D" w:rsidRDefault="005A589D" w:rsidP="008C573A">
            <w:pPr>
              <w:keepNext/>
              <w:jc w:val="center"/>
            </w:pPr>
            <w:r>
              <w:t>e</w:t>
            </w:r>
            <w:r w:rsidRPr="00F1650E">
              <w:rPr>
                <w:vertAlign w:val="subscript"/>
              </w:rPr>
              <w:t>2</w:t>
            </w:r>
            <w:r>
              <w:t>- e</w:t>
            </w:r>
            <w:r w:rsidRPr="00F1650E">
              <w:rPr>
                <w:vertAlign w:val="subscript"/>
              </w:rPr>
              <w:t>1</w:t>
            </w:r>
            <w:r>
              <w:t xml:space="preserve"> – r</w:t>
            </w:r>
            <w:r w:rsidRPr="00FE337A">
              <w:rPr>
                <w:vertAlign w:val="subscript"/>
              </w:rPr>
              <w:t>e</w:t>
            </w:r>
            <w:r>
              <w:t xml:space="preserve"> (e</w:t>
            </w:r>
            <w:r w:rsidRPr="00F1650E">
              <w:rPr>
                <w:vertAlign w:val="subscript"/>
              </w:rPr>
              <w:t>1</w:t>
            </w:r>
            <w:r>
              <w:t xml:space="preserve"> – d</w:t>
            </w:r>
            <w:r w:rsidRPr="00F1650E">
              <w:rPr>
                <w:vertAlign w:val="subscript"/>
              </w:rPr>
              <w:t>1</w:t>
            </w:r>
            <w:r>
              <w:t>)</w:t>
            </w:r>
          </w:p>
        </w:tc>
        <w:tc>
          <w:tcPr>
            <w:tcW w:w="0" w:type="auto"/>
          </w:tcPr>
          <w:p w:rsidR="005A589D" w:rsidRDefault="005A589D" w:rsidP="008C573A">
            <w:pPr>
              <w:keepNext/>
              <w:jc w:val="center"/>
            </w:pPr>
            <w:r>
              <w:t>+</w:t>
            </w:r>
          </w:p>
        </w:tc>
        <w:tc>
          <w:tcPr>
            <w:tcW w:w="0" w:type="auto"/>
            <w:tcBorders>
              <w:bottom w:val="single" w:sz="2" w:space="0" w:color="auto"/>
            </w:tcBorders>
          </w:tcPr>
          <w:p w:rsidR="005A589D" w:rsidRDefault="005A589D" w:rsidP="008C573A">
            <w:pPr>
              <w:keepNext/>
              <w:jc w:val="center"/>
            </w:pPr>
            <w:r>
              <w:t>e</w:t>
            </w:r>
            <w:r>
              <w:rPr>
                <w:vertAlign w:val="subscript"/>
              </w:rPr>
              <w:t>3</w:t>
            </w:r>
            <w:r>
              <w:t>- e</w:t>
            </w:r>
            <w:r w:rsidRPr="00F1650E">
              <w:rPr>
                <w:vertAlign w:val="subscript"/>
              </w:rPr>
              <w:t>2</w:t>
            </w:r>
            <w:r>
              <w:t xml:space="preserve"> – r</w:t>
            </w:r>
            <w:r w:rsidRPr="00FE337A">
              <w:rPr>
                <w:vertAlign w:val="subscript"/>
              </w:rPr>
              <w:t>e</w:t>
            </w:r>
            <w:r>
              <w:t xml:space="preserve"> (e</w:t>
            </w:r>
            <w:r w:rsidRPr="00F1650E">
              <w:rPr>
                <w:vertAlign w:val="subscript"/>
              </w:rPr>
              <w:t>2</w:t>
            </w:r>
            <w:r>
              <w:t xml:space="preserve"> – d</w:t>
            </w:r>
            <w:r>
              <w:rPr>
                <w:vertAlign w:val="subscript"/>
              </w:rPr>
              <w:t>2</w:t>
            </w:r>
            <w:r>
              <w:t>)</w:t>
            </w:r>
          </w:p>
        </w:tc>
      </w:tr>
      <w:tr w:rsidR="005A589D" w:rsidTr="00457478">
        <w:trPr>
          <w:cantSplit/>
        </w:trPr>
        <w:tc>
          <w:tcPr>
            <w:tcW w:w="0" w:type="auto"/>
          </w:tcPr>
          <w:p w:rsidR="005A589D" w:rsidRDefault="005A589D" w:rsidP="008C573A">
            <w:pPr>
              <w:keepNext/>
              <w:jc w:val="center"/>
            </w:pPr>
          </w:p>
        </w:tc>
        <w:tc>
          <w:tcPr>
            <w:tcW w:w="0" w:type="auto"/>
            <w:tcBorders>
              <w:top w:val="single" w:sz="2" w:space="0" w:color="auto"/>
            </w:tcBorders>
          </w:tcPr>
          <w:p w:rsidR="005A589D" w:rsidRDefault="005A589D" w:rsidP="008C573A">
            <w:pPr>
              <w:keepNext/>
              <w:jc w:val="center"/>
            </w:pPr>
            <w:r>
              <w:t>r</w:t>
            </w:r>
            <w:r w:rsidRPr="00FE337A">
              <w:rPr>
                <w:vertAlign w:val="subscript"/>
              </w:rPr>
              <w:t>e</w:t>
            </w:r>
          </w:p>
        </w:tc>
        <w:tc>
          <w:tcPr>
            <w:tcW w:w="0" w:type="auto"/>
          </w:tcPr>
          <w:p w:rsidR="005A589D" w:rsidRDefault="005A589D" w:rsidP="008C573A">
            <w:pPr>
              <w:keepNext/>
              <w:jc w:val="center"/>
            </w:pPr>
          </w:p>
        </w:tc>
        <w:tc>
          <w:tcPr>
            <w:tcW w:w="0" w:type="auto"/>
            <w:tcBorders>
              <w:top w:val="single" w:sz="2" w:space="0" w:color="auto"/>
            </w:tcBorders>
          </w:tcPr>
          <w:p w:rsidR="005A589D" w:rsidRDefault="005A589D" w:rsidP="008C573A">
            <w:pPr>
              <w:keepNext/>
              <w:jc w:val="center"/>
            </w:pPr>
            <w:r>
              <w:t>r</w:t>
            </w:r>
            <w:r w:rsidRPr="00FE337A">
              <w:rPr>
                <w:vertAlign w:val="subscript"/>
              </w:rPr>
              <w:t>e</w:t>
            </w:r>
            <w:r>
              <w:t xml:space="preserve"> (1+ r</w:t>
            </w:r>
            <w:r w:rsidRPr="00FE337A">
              <w:rPr>
                <w:vertAlign w:val="subscript"/>
              </w:rPr>
              <w:t>e</w:t>
            </w:r>
            <w:r>
              <w:t>)</w:t>
            </w:r>
          </w:p>
        </w:tc>
        <w:tc>
          <w:tcPr>
            <w:tcW w:w="0" w:type="auto"/>
          </w:tcPr>
          <w:p w:rsidR="005A589D" w:rsidRDefault="005A589D" w:rsidP="008C573A">
            <w:pPr>
              <w:keepNext/>
              <w:jc w:val="center"/>
            </w:pPr>
          </w:p>
        </w:tc>
        <w:tc>
          <w:tcPr>
            <w:tcW w:w="0" w:type="auto"/>
            <w:tcBorders>
              <w:top w:val="single" w:sz="2" w:space="0" w:color="auto"/>
            </w:tcBorders>
          </w:tcPr>
          <w:p w:rsidR="005A589D" w:rsidRDefault="005A589D" w:rsidP="0063655D">
            <w:pPr>
              <w:keepNext/>
              <w:jc w:val="center"/>
            </w:pPr>
            <w:r>
              <w:t>r</w:t>
            </w:r>
            <w:r w:rsidRPr="00FE337A">
              <w:rPr>
                <w:vertAlign w:val="subscript"/>
              </w:rPr>
              <w:t>e</w:t>
            </w:r>
            <w:r>
              <w:t xml:space="preserve"> (r</w:t>
            </w:r>
            <w:r w:rsidRPr="00FE337A">
              <w:rPr>
                <w:vertAlign w:val="subscript"/>
              </w:rPr>
              <w:t>e</w:t>
            </w:r>
            <w:r>
              <w:t xml:space="preserve"> -g) (1+ r</w:t>
            </w:r>
            <w:r w:rsidRPr="00FE337A">
              <w:rPr>
                <w:vertAlign w:val="subscript"/>
              </w:rPr>
              <w:t>e</w:t>
            </w:r>
            <w:r>
              <w:t>)</w:t>
            </w:r>
          </w:p>
        </w:tc>
      </w:tr>
      <w:tr w:rsidR="005A589D" w:rsidTr="00457478">
        <w:trPr>
          <w:cantSplit/>
        </w:trPr>
        <w:tc>
          <w:tcPr>
            <w:tcW w:w="0" w:type="auto"/>
          </w:tcPr>
          <w:p w:rsidR="005A589D" w:rsidRDefault="005A589D" w:rsidP="008C573A">
            <w:pPr>
              <w:jc w:val="center"/>
            </w:pPr>
          </w:p>
        </w:tc>
        <w:tc>
          <w:tcPr>
            <w:tcW w:w="0" w:type="auto"/>
          </w:tcPr>
          <w:p w:rsidR="005A589D" w:rsidRDefault="005A589D" w:rsidP="008C573A">
            <w:pPr>
              <w:jc w:val="center"/>
            </w:pPr>
            <w:r>
              <w:t>Anchor</w:t>
            </w:r>
          </w:p>
        </w:tc>
        <w:tc>
          <w:tcPr>
            <w:tcW w:w="0" w:type="auto"/>
          </w:tcPr>
          <w:p w:rsidR="005A589D" w:rsidRDefault="005A589D" w:rsidP="008C573A">
            <w:pPr>
              <w:jc w:val="center"/>
            </w:pPr>
          </w:p>
        </w:tc>
        <w:tc>
          <w:tcPr>
            <w:tcW w:w="0" w:type="auto"/>
          </w:tcPr>
          <w:p w:rsidR="005A589D" w:rsidRDefault="005A589D" w:rsidP="008C573A">
            <w:pPr>
              <w:jc w:val="center"/>
            </w:pPr>
            <w:r>
              <w:t>Until horizon</w:t>
            </w:r>
          </w:p>
        </w:tc>
        <w:tc>
          <w:tcPr>
            <w:tcW w:w="0" w:type="auto"/>
          </w:tcPr>
          <w:p w:rsidR="005A589D" w:rsidRDefault="005A589D" w:rsidP="008C573A">
            <w:pPr>
              <w:jc w:val="center"/>
            </w:pPr>
          </w:p>
        </w:tc>
        <w:tc>
          <w:tcPr>
            <w:tcW w:w="0" w:type="auto"/>
          </w:tcPr>
          <w:p w:rsidR="005A589D" w:rsidRDefault="005A589D" w:rsidP="008C573A">
            <w:pPr>
              <w:jc w:val="center"/>
            </w:pPr>
            <w:r>
              <w:t>Beyond horizon</w:t>
            </w:r>
          </w:p>
        </w:tc>
      </w:tr>
    </w:tbl>
    <w:p w:rsidR="0074274D" w:rsidRDefault="00641047" w:rsidP="00641047">
      <w:pPr>
        <w:pStyle w:val="Heading3"/>
      </w:pPr>
      <w:r>
        <w:t>Residual change in earnings = Change in residual earnings</w:t>
      </w:r>
    </w:p>
    <w:p w:rsidR="0074274D" w:rsidRPr="003001BA" w:rsidRDefault="00303A45" w:rsidP="0074274D">
      <w:r>
        <w:t>Note that</w:t>
      </w:r>
      <w:r w:rsidR="00200AEA">
        <w:t xml:space="preserve"> the</w:t>
      </w:r>
      <w:r w:rsidR="00A5206B">
        <w:t xml:space="preserve"> c</w:t>
      </w:r>
      <w:r w:rsidR="0074274D">
        <w:t>hange in residual earnings = (e</w:t>
      </w:r>
      <w:r w:rsidR="0074274D">
        <w:rPr>
          <w:vertAlign w:val="subscript"/>
        </w:rPr>
        <w:t xml:space="preserve">t </w:t>
      </w:r>
      <w:r w:rsidR="0074274D">
        <w:t>- r</w:t>
      </w:r>
      <w:r w:rsidR="0074274D">
        <w:rPr>
          <w:vertAlign w:val="subscript"/>
        </w:rPr>
        <w:t>e</w:t>
      </w:r>
      <w:r w:rsidR="0074274D">
        <w:t>*b</w:t>
      </w:r>
      <w:r w:rsidR="0074274D">
        <w:rPr>
          <w:vertAlign w:val="subscript"/>
        </w:rPr>
        <w:t>t-1</w:t>
      </w:r>
      <w:r w:rsidR="0074274D">
        <w:t>) – (e</w:t>
      </w:r>
      <w:r w:rsidR="0074274D">
        <w:rPr>
          <w:vertAlign w:val="subscript"/>
        </w:rPr>
        <w:t xml:space="preserve">t-1 </w:t>
      </w:r>
      <w:r w:rsidR="0074274D">
        <w:t>- r</w:t>
      </w:r>
      <w:r w:rsidR="0074274D">
        <w:rPr>
          <w:vertAlign w:val="subscript"/>
        </w:rPr>
        <w:t>e</w:t>
      </w:r>
      <w:r w:rsidR="0074274D">
        <w:t>*b</w:t>
      </w:r>
      <w:r w:rsidR="0074274D">
        <w:rPr>
          <w:vertAlign w:val="subscript"/>
        </w:rPr>
        <w:t>t-2</w:t>
      </w:r>
      <w:r w:rsidR="0074274D">
        <w:t>) = e</w:t>
      </w:r>
      <w:r w:rsidR="0074274D">
        <w:rPr>
          <w:vertAlign w:val="subscript"/>
        </w:rPr>
        <w:t xml:space="preserve">t </w:t>
      </w:r>
      <w:r w:rsidR="0074274D">
        <w:t>– e</w:t>
      </w:r>
      <w:r w:rsidR="0074274D">
        <w:rPr>
          <w:vertAlign w:val="subscript"/>
        </w:rPr>
        <w:t>t-1</w:t>
      </w:r>
      <w:r w:rsidR="0074274D">
        <w:t xml:space="preserve"> – r</w:t>
      </w:r>
      <w:r w:rsidR="0074274D">
        <w:rPr>
          <w:vertAlign w:val="subscript"/>
        </w:rPr>
        <w:t>e</w:t>
      </w:r>
      <w:r w:rsidR="0074274D">
        <w:t xml:space="preserve"> (b</w:t>
      </w:r>
      <w:r w:rsidR="0074274D">
        <w:rPr>
          <w:vertAlign w:val="subscript"/>
        </w:rPr>
        <w:t>t-1</w:t>
      </w:r>
      <w:r w:rsidR="0074274D">
        <w:t xml:space="preserve"> - b</w:t>
      </w:r>
      <w:r w:rsidR="0074274D">
        <w:rPr>
          <w:vertAlign w:val="subscript"/>
        </w:rPr>
        <w:t>t-2</w:t>
      </w:r>
      <w:r w:rsidR="0074274D">
        <w:t>)</w:t>
      </w:r>
    </w:p>
    <w:p w:rsidR="0074274D" w:rsidRDefault="0074274D" w:rsidP="0074274D">
      <w:r>
        <w:t>= e</w:t>
      </w:r>
      <w:r>
        <w:rPr>
          <w:vertAlign w:val="subscript"/>
        </w:rPr>
        <w:t xml:space="preserve">t </w:t>
      </w:r>
      <w:r>
        <w:t>– e</w:t>
      </w:r>
      <w:r>
        <w:rPr>
          <w:vertAlign w:val="subscript"/>
        </w:rPr>
        <w:t>t-1</w:t>
      </w:r>
      <w:r>
        <w:t xml:space="preserve"> – r</w:t>
      </w:r>
      <w:r>
        <w:rPr>
          <w:vertAlign w:val="subscript"/>
        </w:rPr>
        <w:t>e</w:t>
      </w:r>
      <w:r>
        <w:t xml:space="preserve"> (e</w:t>
      </w:r>
      <w:r w:rsidRPr="002654CD">
        <w:rPr>
          <w:vertAlign w:val="subscript"/>
        </w:rPr>
        <w:t>t-1</w:t>
      </w:r>
      <w:r>
        <w:t>- d</w:t>
      </w:r>
      <w:r w:rsidRPr="002654CD">
        <w:rPr>
          <w:vertAlign w:val="subscript"/>
        </w:rPr>
        <w:t>t-1</w:t>
      </w:r>
      <w:r w:rsidR="00A5206B">
        <w:t>) = r</w:t>
      </w:r>
      <w:r>
        <w:t>esidual change in earnings</w:t>
      </w:r>
      <w:r w:rsidR="00303A45">
        <w:t xml:space="preserve">. Thus, book value growth model and the earnings growth model </w:t>
      </w:r>
      <w:r w:rsidR="00200AEA">
        <w:t>are similar</w:t>
      </w:r>
      <w:r w:rsidR="00A5206B">
        <w:t>.</w:t>
      </w:r>
      <w:r w:rsidR="00200AEA">
        <w:t xml:space="preserve"> They differ in so far as they start with different anchors and the book value growth model discounts residual earnings while the earnings growth model discounts capitalized change in residual earnings.</w:t>
      </w:r>
    </w:p>
    <w:p w:rsidR="00D73445" w:rsidRDefault="00457478" w:rsidP="007537D6">
      <w:pPr>
        <w:pStyle w:val="Heading2"/>
      </w:pPr>
      <w:r>
        <w:t>Comparison of the three transformations</w:t>
      </w:r>
      <w:r w:rsidR="001159EA">
        <w:t xml:space="preserve"> with regards to anchor value</w:t>
      </w:r>
    </w:p>
    <w:p w:rsidR="00704F84" w:rsidRDefault="00562862" w:rsidP="00562862">
      <w:pPr>
        <w:pStyle w:val="BodyText"/>
      </w:pPr>
      <w:r>
        <w:t xml:space="preserve">The spreadsheet shows that the </w:t>
      </w:r>
      <w:r w:rsidR="00A0232B">
        <w:t>three</w:t>
      </w:r>
      <w:r w:rsidR="00C22EAE">
        <w:t xml:space="preserve"> transformations</w:t>
      </w:r>
      <w:r w:rsidR="00A0232B">
        <w:t xml:space="preserve"> </w:t>
      </w:r>
      <w:r w:rsidR="0025640A" w:rsidRPr="0025640A">
        <w:t xml:space="preserve">differ in the relative contribution of the components of value listed </w:t>
      </w:r>
      <w:r w:rsidR="0025640A">
        <w:t>below</w:t>
      </w:r>
      <w:r w:rsidR="00704F84">
        <w:t>:</w:t>
      </w:r>
      <w:r w:rsidR="00F3768B">
        <w:t xml:space="preserve"> </w:t>
      </w:r>
    </w:p>
    <w:p w:rsidR="00704F84" w:rsidRDefault="00704F84" w:rsidP="00562862">
      <w:pPr>
        <w:pStyle w:val="BodyText"/>
        <w:numPr>
          <w:ilvl w:val="0"/>
          <w:numId w:val="9"/>
        </w:numPr>
      </w:pPr>
      <w:r>
        <w:t xml:space="preserve">Anchor value: This is the </w:t>
      </w:r>
      <w:r w:rsidR="00DE3476">
        <w:t xml:space="preserve">first term in the expression </w:t>
      </w:r>
      <w:r w:rsidR="00681990">
        <w:t>for</w:t>
      </w:r>
      <w:r w:rsidR="00DE3476">
        <w:t xml:space="preserve"> equity value</w:t>
      </w:r>
      <w:r w:rsidR="00C658E8">
        <w:t>.</w:t>
      </w:r>
    </w:p>
    <w:p w:rsidR="00704F84" w:rsidRDefault="00FD4CB4" w:rsidP="00A0514A">
      <w:pPr>
        <w:pStyle w:val="BodyText"/>
        <w:numPr>
          <w:ilvl w:val="0"/>
          <w:numId w:val="9"/>
        </w:numPr>
      </w:pPr>
      <w:r>
        <w:t xml:space="preserve">Value </w:t>
      </w:r>
      <w:r w:rsidR="00FF09EF">
        <w:t>in addition</w:t>
      </w:r>
      <w:r w:rsidR="005504D4">
        <w:t xml:space="preserve"> to the anchor value</w:t>
      </w:r>
      <w:r w:rsidR="00A0514A">
        <w:t xml:space="preserve"> is split into two components – va</w:t>
      </w:r>
      <w:r w:rsidR="00371D7C">
        <w:t xml:space="preserve">lue </w:t>
      </w:r>
      <w:r w:rsidR="00A0514A">
        <w:t xml:space="preserve">added </w:t>
      </w:r>
      <w:r w:rsidR="00C658E8">
        <w:t xml:space="preserve">based on forecasts during the explicit forecast horizon </w:t>
      </w:r>
      <w:r w:rsidR="00A0514A">
        <w:t>period</w:t>
      </w:r>
      <w:r w:rsidR="00D51C2D">
        <w:t>,</w:t>
      </w:r>
      <w:r w:rsidR="00A0514A">
        <w:t xml:space="preserve"> and beyond.</w:t>
      </w:r>
    </w:p>
    <w:p w:rsidR="0074274D" w:rsidRDefault="00635429" w:rsidP="00562862">
      <w:pPr>
        <w:pStyle w:val="BodyText"/>
      </w:pPr>
      <w:r w:rsidRPr="00635429">
        <w:t xml:space="preserve">The </w:t>
      </w:r>
      <w:r w:rsidR="00FF09EF">
        <w:t xml:space="preserve">closer </w:t>
      </w:r>
      <w:r w:rsidRPr="00635429">
        <w:t xml:space="preserve">the anchor </w:t>
      </w:r>
      <w:r w:rsidR="00FF09EF">
        <w:t xml:space="preserve">is to </w:t>
      </w:r>
      <w:r w:rsidRPr="00635429">
        <w:t>price, the more efficient is the anchor</w:t>
      </w:r>
      <w:r>
        <w:t xml:space="preserve"> </w:t>
      </w:r>
      <w:r w:rsidRPr="00635429">
        <w:t xml:space="preserve">in </w:t>
      </w:r>
      <w:r w:rsidR="00AC65C9">
        <w:t>capturing value</w:t>
      </w:r>
      <w:r w:rsidRPr="00635429">
        <w:t xml:space="preserve">. </w:t>
      </w:r>
      <w:r w:rsidR="00FD4CB4">
        <w:t>Empirically</w:t>
      </w:r>
      <w:r w:rsidRPr="00635429">
        <w:t>, out of the three variables</w:t>
      </w:r>
      <w:r>
        <w:t>,</w:t>
      </w:r>
      <w:r w:rsidRPr="00635429">
        <w:t xml:space="preserve"> capitalized forward earnings tend </w:t>
      </w:r>
      <w:r w:rsidR="0001446F">
        <w:t xml:space="preserve">be the closest to price, </w:t>
      </w:r>
      <w:r w:rsidRPr="00635429">
        <w:t>followed by boo</w:t>
      </w:r>
      <w:r w:rsidR="000F653C">
        <w:t xml:space="preserve">k value, followed by </w:t>
      </w:r>
      <w:r w:rsidR="00D926AD">
        <w:t xml:space="preserve">capitalized forward </w:t>
      </w:r>
      <w:r w:rsidR="000F653C">
        <w:t>dividends.</w:t>
      </w:r>
    </w:p>
    <w:p w:rsidR="0074274D" w:rsidRPr="000F653C" w:rsidRDefault="0074274D" w:rsidP="00562862">
      <w:pPr>
        <w:pStyle w:val="BodyText"/>
      </w:pPr>
      <w:r>
        <w:t>P</w:t>
      </w:r>
      <w:r w:rsidRPr="00457478">
        <w:rPr>
          <w:vertAlign w:val="subscript"/>
        </w:rPr>
        <w:t>0</w:t>
      </w:r>
      <w:r>
        <w:t xml:space="preserve"> &gt; e</w:t>
      </w:r>
      <w:r w:rsidRPr="00457478">
        <w:rPr>
          <w:vertAlign w:val="subscript"/>
        </w:rPr>
        <w:t>1</w:t>
      </w:r>
      <w:r>
        <w:t>/r</w:t>
      </w:r>
      <w:r w:rsidRPr="00457478">
        <w:rPr>
          <w:vertAlign w:val="subscript"/>
        </w:rPr>
        <w:t>e</w:t>
      </w:r>
      <w:r>
        <w:t xml:space="preserve"> &gt; b</w:t>
      </w:r>
      <w:r w:rsidRPr="00457478">
        <w:rPr>
          <w:vertAlign w:val="subscript"/>
        </w:rPr>
        <w:t>0</w:t>
      </w:r>
      <w:r w:rsidR="000F653C">
        <w:t xml:space="preserve"> &gt; d</w:t>
      </w:r>
      <w:r w:rsidR="000F653C" w:rsidRPr="00457478">
        <w:rPr>
          <w:vertAlign w:val="subscript"/>
        </w:rPr>
        <w:t>1</w:t>
      </w:r>
      <w:r w:rsidR="000F653C">
        <w:t>/r</w:t>
      </w:r>
      <w:r w:rsidR="000F653C" w:rsidRPr="00457478">
        <w:rPr>
          <w:vertAlign w:val="subscript"/>
        </w:rPr>
        <w:t>e</w:t>
      </w:r>
    </w:p>
    <w:p w:rsidR="00B749AE" w:rsidRDefault="00B749AE" w:rsidP="00562862">
      <w:pPr>
        <w:pStyle w:val="BodyText"/>
      </w:pPr>
      <w:r>
        <w:t xml:space="preserve">The first inequality holds because the residual change in earnings </w:t>
      </w:r>
      <w:r w:rsidR="00BF6BEB">
        <w:t>tends to be</w:t>
      </w:r>
      <w:r>
        <w:t xml:space="preserve"> positive. That is, </w:t>
      </w:r>
      <w:r w:rsidR="008C7C22">
        <w:t>v</w:t>
      </w:r>
      <w:r w:rsidR="00DC775A">
        <w:t xml:space="preserve">alue </w:t>
      </w:r>
      <w:r w:rsidR="008C7C22">
        <w:t xml:space="preserve">is </w:t>
      </w:r>
      <w:r w:rsidR="00DC775A">
        <w:t>creat</w:t>
      </w:r>
      <w:r w:rsidR="008C7C22">
        <w:t xml:space="preserve">ed </w:t>
      </w:r>
      <w:r w:rsidR="00DC775A">
        <w:t xml:space="preserve">in the future </w:t>
      </w:r>
      <w:r w:rsidR="008C7C22">
        <w:t xml:space="preserve">as </w:t>
      </w:r>
      <w:r w:rsidR="00DC775A">
        <w:t xml:space="preserve">return on </w:t>
      </w:r>
      <w:r w:rsidR="00B7476E">
        <w:t xml:space="preserve">new investments </w:t>
      </w:r>
      <w:r w:rsidR="00DC775A">
        <w:t>exceeds cost of capital.</w:t>
      </w:r>
    </w:p>
    <w:p w:rsidR="00200AEA" w:rsidRDefault="00200AEA" w:rsidP="00562862">
      <w:pPr>
        <w:pStyle w:val="BodyText"/>
      </w:pPr>
      <w:r>
        <w:t>T</w:t>
      </w:r>
      <w:r w:rsidR="0074274D">
        <w:t xml:space="preserve">he second inequality </w:t>
      </w:r>
      <w:r>
        <w:t>implies</w:t>
      </w:r>
      <w:r w:rsidR="0074274D">
        <w:t xml:space="preserve"> ROE &gt; r</w:t>
      </w:r>
      <w:r w:rsidR="0074274D" w:rsidRPr="00457478">
        <w:rPr>
          <w:vertAlign w:val="subscript"/>
        </w:rPr>
        <w:t>e</w:t>
      </w:r>
      <w:r>
        <w:t xml:space="preserve"> because ROE = e</w:t>
      </w:r>
      <w:r w:rsidRPr="00457478">
        <w:rPr>
          <w:vertAlign w:val="subscript"/>
        </w:rPr>
        <w:t>1</w:t>
      </w:r>
      <w:r>
        <w:t>/b</w:t>
      </w:r>
      <w:r w:rsidRPr="00457478">
        <w:rPr>
          <w:vertAlign w:val="subscript"/>
        </w:rPr>
        <w:t>0</w:t>
      </w:r>
      <w:r>
        <w:t xml:space="preserve">. </w:t>
      </w:r>
      <w:r w:rsidR="0074274D">
        <w:t xml:space="preserve">The latter typically holds because conservative accounting exerts a larger downward bias on book values than it does on earnings. </w:t>
      </w:r>
      <w:r w:rsidR="00037307">
        <w:t>If ROE equaled r</w:t>
      </w:r>
      <w:r w:rsidR="00037307" w:rsidRPr="00457478">
        <w:rPr>
          <w:vertAlign w:val="subscript"/>
        </w:rPr>
        <w:t>e</w:t>
      </w:r>
      <w:r w:rsidR="00037307">
        <w:t>, then earnings and book value will both be perfect anchors. However, e</w:t>
      </w:r>
      <w:r w:rsidR="0074274D">
        <w:t>mpirically, ROE hovers around 15%, while r</w:t>
      </w:r>
      <w:r w:rsidR="0074274D" w:rsidRPr="00457478">
        <w:rPr>
          <w:vertAlign w:val="subscript"/>
        </w:rPr>
        <w:t>e</w:t>
      </w:r>
      <w:r w:rsidR="0074274D">
        <w:t xml:space="preserve"> </w:t>
      </w:r>
      <w:r w:rsidR="00037307">
        <w:t>is</w:t>
      </w:r>
      <w:r w:rsidR="0074274D">
        <w:t xml:space="preserve"> around 10%. </w:t>
      </w:r>
      <w:r w:rsidR="00037307">
        <w:t xml:space="preserve">This could be because of two reasons: </w:t>
      </w:r>
      <w:r w:rsidR="00797CF7">
        <w:t xml:space="preserve">the </w:t>
      </w:r>
      <w:r w:rsidR="00C260AB">
        <w:t xml:space="preserve">economic return </w:t>
      </w:r>
      <w:r w:rsidR="00037307">
        <w:t xml:space="preserve">exceeds </w:t>
      </w:r>
      <w:r w:rsidR="00C260AB">
        <w:t>cost of capital</w:t>
      </w:r>
      <w:r w:rsidR="00037307">
        <w:t xml:space="preserve"> </w:t>
      </w:r>
      <w:r w:rsidR="00C260AB">
        <w:t xml:space="preserve">because </w:t>
      </w:r>
      <w:r w:rsidR="007A7366">
        <w:t>of competitive advantage</w:t>
      </w:r>
      <w:r w:rsidR="00797CF7">
        <w:t>, or</w:t>
      </w:r>
      <w:r w:rsidR="007A7366">
        <w:t xml:space="preserve"> </w:t>
      </w:r>
      <w:r w:rsidR="00797CF7">
        <w:t xml:space="preserve">the economic return equals the cost of capital but the </w:t>
      </w:r>
      <w:r w:rsidR="00C260AB">
        <w:t xml:space="preserve">accounting return </w:t>
      </w:r>
      <w:r w:rsidR="007A7366">
        <w:t xml:space="preserve">exceeds </w:t>
      </w:r>
      <w:r w:rsidR="00797CF7">
        <w:t xml:space="preserve">the </w:t>
      </w:r>
      <w:r w:rsidR="00C260AB">
        <w:t xml:space="preserve">economic return </w:t>
      </w:r>
      <w:r w:rsidR="007A7366">
        <w:t xml:space="preserve">because of conservative </w:t>
      </w:r>
      <w:r w:rsidR="00C260AB">
        <w:t>accounting.</w:t>
      </w:r>
      <w:r w:rsidR="000F653C">
        <w:t xml:space="preserve"> </w:t>
      </w:r>
    </w:p>
    <w:p w:rsidR="00635429" w:rsidRPr="0009671B" w:rsidRDefault="000F653C" w:rsidP="00562862">
      <w:pPr>
        <w:pStyle w:val="BodyText"/>
      </w:pPr>
      <w:r>
        <w:t>The last inequality arises from the fact that dividends represent di</w:t>
      </w:r>
      <w:r w:rsidR="007E26E1">
        <w:t>stribution of retained earnings and wealth distribution often lags wealth creation.</w:t>
      </w:r>
      <w:r>
        <w:t xml:space="preserve"> </w:t>
      </w:r>
      <w:r w:rsidR="00CF3E6B">
        <w:t>Most companies have zero or low dividend payout.</w:t>
      </w:r>
    </w:p>
    <w:p w:rsidR="00BE5C9D" w:rsidRPr="002814D2" w:rsidRDefault="00E422CB" w:rsidP="00BE5C9D">
      <w:pPr>
        <w:pStyle w:val="Heading2"/>
      </w:pPr>
      <w:r>
        <w:t xml:space="preserve">Specifying </w:t>
      </w:r>
      <w:r w:rsidR="00243A66">
        <w:t xml:space="preserve">the </w:t>
      </w:r>
      <w:r>
        <w:t xml:space="preserve">cost of equity </w:t>
      </w:r>
      <w:r w:rsidR="00BE5C9D">
        <w:t xml:space="preserve">and the growth </w:t>
      </w:r>
      <w:r w:rsidR="00243A66">
        <w:t>rate</w:t>
      </w:r>
    </w:p>
    <w:p w:rsidR="00966725" w:rsidRDefault="00BE5C9D" w:rsidP="00BE5C9D">
      <w:r>
        <w:t>The input section requires two inputs</w:t>
      </w:r>
      <w:r w:rsidR="00406D6A">
        <w:t xml:space="preserve"> that are outside financial statements</w:t>
      </w:r>
      <w:r>
        <w:t xml:space="preserve">: the </w:t>
      </w:r>
      <w:r w:rsidR="00966725">
        <w:t>discount rate (r</w:t>
      </w:r>
      <w:r w:rsidR="00966725" w:rsidRPr="00966725">
        <w:rPr>
          <w:vertAlign w:val="subscript"/>
        </w:rPr>
        <w:t>e</w:t>
      </w:r>
      <w:r w:rsidR="00966725">
        <w:t xml:space="preserve">) for residual earnings to equity (aka cost of equity) </w:t>
      </w:r>
      <w:r>
        <w:t>and the post-horizon growth rate</w:t>
      </w:r>
      <w:r w:rsidR="00966725">
        <w:t xml:space="preserve"> in residual earnings</w:t>
      </w:r>
      <w:r>
        <w:t xml:space="preserve"> </w:t>
      </w:r>
      <w:r w:rsidR="00406D6A">
        <w:t>(g)</w:t>
      </w:r>
      <w:r>
        <w:t>. These are discussed next.</w:t>
      </w:r>
    </w:p>
    <w:p w:rsidR="00BE5C9D" w:rsidRPr="002814D2" w:rsidRDefault="00E10167" w:rsidP="00BE5C9D">
      <w:pPr>
        <w:pStyle w:val="Heading3"/>
      </w:pPr>
      <w:r>
        <w:t>The discount rate (</w:t>
      </w:r>
      <w:r w:rsidR="000327F7">
        <w:t>r</w:t>
      </w:r>
      <w:r w:rsidR="000327F7" w:rsidRPr="000327F7">
        <w:rPr>
          <w:vertAlign w:val="subscript"/>
        </w:rPr>
        <w:t>e</w:t>
      </w:r>
      <w:r>
        <w:t>)</w:t>
      </w:r>
    </w:p>
    <w:p w:rsidR="00C83715" w:rsidRDefault="00E10167" w:rsidP="000A339B">
      <w:pPr>
        <w:pStyle w:val="BodyText"/>
      </w:pPr>
      <w:r w:rsidRPr="00E10167">
        <w:t>No</w:t>
      </w:r>
      <w:r>
        <w:t xml:space="preserve"> commonly accepted</w:t>
      </w:r>
      <w:r w:rsidRPr="00E10167">
        <w:t xml:space="preserve"> procedure exists </w:t>
      </w:r>
      <w:r>
        <w:t xml:space="preserve">to measure the discount rate. Some </w:t>
      </w:r>
      <w:r w:rsidRPr="00E10167">
        <w:t xml:space="preserve">investors use the CAPM model. </w:t>
      </w:r>
      <w:r>
        <w:t xml:space="preserve">CAPM </w:t>
      </w:r>
      <w:r w:rsidR="000327F7">
        <w:t>states: r</w:t>
      </w:r>
      <w:r w:rsidR="000327F7" w:rsidRPr="000327F7">
        <w:rPr>
          <w:vertAlign w:val="subscript"/>
        </w:rPr>
        <w:t>e</w:t>
      </w:r>
      <w:r w:rsidR="000327F7">
        <w:t xml:space="preserve"> = r</w:t>
      </w:r>
      <w:r w:rsidR="000327F7" w:rsidRPr="000327F7">
        <w:rPr>
          <w:vertAlign w:val="subscript"/>
        </w:rPr>
        <w:t>f</w:t>
      </w:r>
      <w:r w:rsidR="000327F7">
        <w:t xml:space="preserve"> + </w:t>
      </w:r>
      <w:r w:rsidR="000327F7" w:rsidRPr="000327F7">
        <w:rPr>
          <w:rFonts w:ascii="Symbol" w:hAnsi="Symbol"/>
        </w:rPr>
        <w:t></w:t>
      </w:r>
      <w:r w:rsidR="000327F7">
        <w:t xml:space="preserve"> (r</w:t>
      </w:r>
      <w:r w:rsidR="000327F7" w:rsidRPr="000327F7">
        <w:rPr>
          <w:vertAlign w:val="subscript"/>
        </w:rPr>
        <w:t>m</w:t>
      </w:r>
      <w:r w:rsidR="000327F7">
        <w:t xml:space="preserve"> - r</w:t>
      </w:r>
      <w:r w:rsidR="000327F7" w:rsidRPr="000327F7">
        <w:rPr>
          <w:vertAlign w:val="subscript"/>
        </w:rPr>
        <w:t>f</w:t>
      </w:r>
      <w:r w:rsidR="000327F7">
        <w:t>)</w:t>
      </w:r>
      <w:r w:rsidR="00BE5C9D">
        <w:t xml:space="preserve">. </w:t>
      </w:r>
    </w:p>
    <w:p w:rsidR="00F90C7F" w:rsidRDefault="00F90C7F" w:rsidP="00F90C7F">
      <w:pPr>
        <w:pStyle w:val="BodyText"/>
        <w:numPr>
          <w:ilvl w:val="0"/>
          <w:numId w:val="31"/>
        </w:numPr>
      </w:pPr>
      <w:r>
        <w:t>r</w:t>
      </w:r>
      <w:r w:rsidRPr="00F90C7F">
        <w:rPr>
          <w:vertAlign w:val="subscript"/>
        </w:rPr>
        <w:t>f</w:t>
      </w:r>
      <w:r>
        <w:t xml:space="preserve"> is the long-term government bond rate</w:t>
      </w:r>
    </w:p>
    <w:p w:rsidR="00F90C7F" w:rsidRDefault="00F90C7F" w:rsidP="00F90C7F">
      <w:pPr>
        <w:pStyle w:val="BodyText"/>
        <w:numPr>
          <w:ilvl w:val="0"/>
          <w:numId w:val="31"/>
        </w:numPr>
      </w:pPr>
      <w:r>
        <w:rPr>
          <w:rFonts w:ascii="Symbol" w:hAnsi="Symbol"/>
        </w:rPr>
        <w:t></w:t>
      </w:r>
      <w:r>
        <w:t xml:space="preserve"> </w:t>
      </w:r>
      <w:r w:rsidR="00C83715">
        <w:t>is available from w</w:t>
      </w:r>
      <w:r w:rsidR="000327F7">
        <w:t>eb sites such as</w:t>
      </w:r>
      <w:r w:rsidR="00E10167">
        <w:t xml:space="preserve"> Yahoo! Finance.</w:t>
      </w:r>
    </w:p>
    <w:p w:rsidR="00F90C7F" w:rsidRDefault="00C83715" w:rsidP="00F90C7F">
      <w:pPr>
        <w:pStyle w:val="BodyText"/>
        <w:numPr>
          <w:ilvl w:val="0"/>
          <w:numId w:val="31"/>
        </w:numPr>
      </w:pPr>
      <w:r>
        <w:t>r</w:t>
      </w:r>
      <w:r w:rsidRPr="00F90C7F">
        <w:rPr>
          <w:vertAlign w:val="subscript"/>
        </w:rPr>
        <w:t>m</w:t>
      </w:r>
      <w:r>
        <w:t xml:space="preserve"> </w:t>
      </w:r>
      <w:r w:rsidR="00DF0831">
        <w:t>– r</w:t>
      </w:r>
      <w:r w:rsidR="00DF0831" w:rsidRPr="00DF0831">
        <w:rPr>
          <w:vertAlign w:val="subscript"/>
        </w:rPr>
        <w:t>f</w:t>
      </w:r>
      <w:r w:rsidR="00DF0831">
        <w:t xml:space="preserve"> </w:t>
      </w:r>
      <w:r w:rsidR="00F90C7F">
        <w:t xml:space="preserve">is based on data provided by </w:t>
      </w:r>
      <w:r>
        <w:t>regular surveys.</w:t>
      </w:r>
    </w:p>
    <w:p w:rsidR="00BE5C9D" w:rsidRDefault="00DF0831" w:rsidP="00F90C7F">
      <w:pPr>
        <w:pStyle w:val="BodyText"/>
      </w:pPr>
      <w:r>
        <w:t>Instead of CAPM, subjective assessments of cost of equity are used as well.</w:t>
      </w:r>
    </w:p>
    <w:p w:rsidR="00BE5C9D" w:rsidRDefault="00C95596" w:rsidP="00BE5C9D">
      <w:pPr>
        <w:pStyle w:val="Heading3"/>
      </w:pPr>
      <w:r>
        <w:t>P</w:t>
      </w:r>
      <w:r w:rsidR="00BC0D3A">
        <w:t xml:space="preserve">erpetual </w:t>
      </w:r>
      <w:r w:rsidR="00BE5C9D">
        <w:t>growth</w:t>
      </w:r>
      <w:r w:rsidR="000A339B">
        <w:t xml:space="preserve"> in residual earnings</w:t>
      </w:r>
      <w:r w:rsidR="000327F7">
        <w:t xml:space="preserve"> </w:t>
      </w:r>
      <w:r w:rsidR="000A339B">
        <w:t>(</w:t>
      </w:r>
      <w:r w:rsidR="000327F7">
        <w:t>g</w:t>
      </w:r>
      <w:r w:rsidR="000A339B">
        <w:t>)</w:t>
      </w:r>
    </w:p>
    <w:p w:rsidR="000A339B" w:rsidRDefault="00E256F9" w:rsidP="000A339B">
      <w:pPr>
        <w:pStyle w:val="BodyText"/>
      </w:pPr>
      <w:r>
        <w:t xml:space="preserve">We suggest three ways of specifying the growth in residual earnings (g). </w:t>
      </w:r>
      <w:r w:rsidR="000A339B">
        <w:t xml:space="preserve"> </w:t>
      </w:r>
    </w:p>
    <w:p w:rsidR="000A339B" w:rsidRDefault="000A339B" w:rsidP="000A339B">
      <w:pPr>
        <w:pStyle w:val="BodyText"/>
      </w:pPr>
      <w:r>
        <w:t xml:space="preserve">First, one can </w:t>
      </w:r>
      <w:r w:rsidR="00E256F9">
        <w:t>equate</w:t>
      </w:r>
      <w:r>
        <w:t xml:space="preserve"> g to the growth in sales at the horizon. This approach has the drawback that it typically leads to absurdly high valuations.</w:t>
      </w:r>
    </w:p>
    <w:p w:rsidR="000A339B" w:rsidRDefault="000A339B" w:rsidP="000A339B">
      <w:pPr>
        <w:pStyle w:val="BodyText"/>
      </w:pPr>
      <w:r>
        <w:t xml:space="preserve">Second, one can </w:t>
      </w:r>
      <w:r w:rsidR="00E256F9">
        <w:t xml:space="preserve">equate g to long-run economic </w:t>
      </w:r>
      <w:r>
        <w:t>growth</w:t>
      </w:r>
      <w:r w:rsidR="00E256F9">
        <w:t xml:space="preserve"> rate, which is usually around </w:t>
      </w:r>
      <w:r>
        <w:t>3%. This approach has the drawback that it forces all firms to have the same growth rate.</w:t>
      </w:r>
    </w:p>
    <w:p w:rsidR="00BE5C9D" w:rsidRPr="002357EF" w:rsidRDefault="00172F8A" w:rsidP="00172F8A">
      <w:pPr>
        <w:pStyle w:val="BodyText"/>
      </w:pPr>
      <w:r>
        <w:t xml:space="preserve">The third approach, which we recommend, is based on the idea that risk and growth </w:t>
      </w:r>
      <w:r w:rsidR="002357EF">
        <w:t>go</w:t>
      </w:r>
      <w:r w:rsidR="00BE5C9D">
        <w:t xml:space="preserve"> together. </w:t>
      </w:r>
      <w:r w:rsidR="002357EF">
        <w:t>Consequently</w:t>
      </w:r>
      <w:r w:rsidR="00BE5C9D">
        <w:t xml:space="preserve">, firms with </w:t>
      </w:r>
      <w:r w:rsidR="00E83C67">
        <w:t xml:space="preserve">a </w:t>
      </w:r>
      <w:r w:rsidR="00BE5C9D">
        <w:t xml:space="preserve">high </w:t>
      </w:r>
      <w:r w:rsidR="00E83C67">
        <w:t>cost of equity</w:t>
      </w:r>
      <w:r w:rsidR="00BE5C9D">
        <w:t xml:space="preserve"> should also have a high growth rate. </w:t>
      </w:r>
      <w:r w:rsidR="002C7C40">
        <w:t>An</w:t>
      </w:r>
      <w:r w:rsidR="00BE5C9D">
        <w:t xml:space="preserve"> application of this principle puts</w:t>
      </w:r>
      <w:r w:rsidR="002357EF">
        <w:t xml:space="preserve"> </w:t>
      </w:r>
      <w:r w:rsidR="00BE5C9D">
        <w:t>g = r</w:t>
      </w:r>
      <w:r w:rsidR="002357EF" w:rsidRPr="002357EF">
        <w:rPr>
          <w:vertAlign w:val="subscript"/>
        </w:rPr>
        <w:t>e</w:t>
      </w:r>
      <w:r w:rsidR="002357EF">
        <w:t xml:space="preserve"> - E/P. </w:t>
      </w:r>
      <w:r w:rsidR="004216F2">
        <w:t xml:space="preserve">This </w:t>
      </w:r>
      <w:r w:rsidR="004216F2" w:rsidRPr="00C615AA">
        <w:t xml:space="preserve">expression is </w:t>
      </w:r>
      <w:r w:rsidR="004216F2">
        <w:t xml:space="preserve">familiar </w:t>
      </w:r>
      <w:r>
        <w:t>in the form</w:t>
      </w:r>
      <w:r w:rsidR="004216F2">
        <w:t xml:space="preserve"> P= E/(</w:t>
      </w:r>
      <w:r w:rsidR="004216F2" w:rsidRPr="00C615AA">
        <w:t>r</w:t>
      </w:r>
      <w:r w:rsidR="004216F2" w:rsidRPr="002357EF">
        <w:rPr>
          <w:vertAlign w:val="subscript"/>
        </w:rPr>
        <w:t>e</w:t>
      </w:r>
      <w:r w:rsidR="004216F2">
        <w:t>-g</w:t>
      </w:r>
      <w:r w:rsidR="004216F2" w:rsidRPr="00C615AA">
        <w:t>)</w:t>
      </w:r>
      <w:r w:rsidR="004216F2">
        <w:t xml:space="preserve">. </w:t>
      </w:r>
      <w:r w:rsidR="00BE5C9D">
        <w:t xml:space="preserve">E/P </w:t>
      </w:r>
      <w:r w:rsidR="004216F2">
        <w:t xml:space="preserve">is </w:t>
      </w:r>
      <w:r w:rsidR="00BE5C9D">
        <w:t>the expecte</w:t>
      </w:r>
      <w:r w:rsidR="00965B65">
        <w:t>d earnings yield in the future. H</w:t>
      </w:r>
      <w:r w:rsidR="00BE5C9D">
        <w:t>istorical E/P</w:t>
      </w:r>
      <w:r w:rsidR="00965B65">
        <w:t xml:space="preserve"> is </w:t>
      </w:r>
      <w:r w:rsidR="00BE5C9D">
        <w:t xml:space="preserve">roughly </w:t>
      </w:r>
      <w:r w:rsidR="00965B65">
        <w:t>6.5%</w:t>
      </w:r>
      <w:r w:rsidR="00972FF7">
        <w:t>,</w:t>
      </w:r>
      <w:r w:rsidR="00FB51B4">
        <w:t xml:space="preserve"> and </w:t>
      </w:r>
      <w:r w:rsidR="00972FF7">
        <w:t xml:space="preserve">it serves </w:t>
      </w:r>
      <w:r w:rsidR="00FB51B4">
        <w:t>a</w:t>
      </w:r>
      <w:r w:rsidR="00972FF7">
        <w:t>s a</w:t>
      </w:r>
      <w:r w:rsidR="00FB51B4">
        <w:t xml:space="preserve"> natural starting point.</w:t>
      </w:r>
    </w:p>
    <w:p w:rsidR="00BE5C9D" w:rsidRDefault="00BE5C9D" w:rsidP="00BE5C9D">
      <w:pPr>
        <w:pStyle w:val="Heading3"/>
      </w:pPr>
      <w:r w:rsidRPr="00C615AA">
        <w:t>Inferring the discount</w:t>
      </w:r>
      <w:r>
        <w:t xml:space="preserve"> factor or the growth </w:t>
      </w:r>
      <w:r w:rsidR="00500C26">
        <w:t>rate</w:t>
      </w:r>
    </w:p>
    <w:p w:rsidR="00EA5FE5" w:rsidRDefault="00BC2A10" w:rsidP="00BE5C9D">
      <w:r>
        <w:t>T</w:t>
      </w:r>
      <w:r w:rsidR="00BE5C9D">
        <w:t xml:space="preserve">he bottom of the </w:t>
      </w:r>
      <w:r w:rsidR="0054228C">
        <w:t>spreadsheet</w:t>
      </w:r>
      <w:r>
        <w:t xml:space="preserve"> allows one to enter</w:t>
      </w:r>
      <w:r w:rsidR="00EA5FE5">
        <w:t xml:space="preserve"> the</w:t>
      </w:r>
      <w:r w:rsidR="00BE5C9D">
        <w:t xml:space="preserve"> </w:t>
      </w:r>
      <w:r w:rsidR="007F2F75">
        <w:t xml:space="preserve">actual </w:t>
      </w:r>
      <w:r w:rsidR="00BE5C9D">
        <w:t xml:space="preserve">stock price and then infer </w:t>
      </w:r>
      <w:r w:rsidR="007F2F75">
        <w:t xml:space="preserve">either </w:t>
      </w:r>
      <w:r w:rsidR="00BE5C9D">
        <w:t>the discount factor or</w:t>
      </w:r>
      <w:r w:rsidR="0054228C">
        <w:t xml:space="preserve"> the growth rate.</w:t>
      </w:r>
      <w:r w:rsidR="007F2F75">
        <w:t xml:space="preserve"> </w:t>
      </w:r>
      <w:r w:rsidR="00370F30">
        <w:t xml:space="preserve">This is useful when estimated stock price differs from the actual stock price and one wants to know by how much either the discount factor or the growth rate need to be changed to equate estimated price to actual price. </w:t>
      </w:r>
      <w:r w:rsidR="00BE5C9D">
        <w:t xml:space="preserve">This procedure is </w:t>
      </w:r>
      <w:r w:rsidR="00B6642E">
        <w:t>called</w:t>
      </w:r>
      <w:r w:rsidR="007F2F75">
        <w:t xml:space="preserve"> “reverse engineering”</w:t>
      </w:r>
      <w:r w:rsidR="00BE5C9D">
        <w:t>.</w:t>
      </w:r>
    </w:p>
    <w:p w:rsidR="007450F6" w:rsidRDefault="007450F6" w:rsidP="007450F6">
      <w:pPr>
        <w:pStyle w:val="Heading1"/>
      </w:pPr>
      <w:r>
        <w:t>Detailed st</w:t>
      </w:r>
      <w:r w:rsidR="00F1650E">
        <w:t>eps</w:t>
      </w:r>
    </w:p>
    <w:p w:rsidR="00C92452" w:rsidRPr="00C92452" w:rsidRDefault="00C92452" w:rsidP="00C92452">
      <w:pPr>
        <w:pStyle w:val="Heading2"/>
      </w:pPr>
      <w:r>
        <w:t>Inputs</w:t>
      </w:r>
    </w:p>
    <w:p w:rsidR="00231213" w:rsidRDefault="007F52DD" w:rsidP="0054228C">
      <w:pPr>
        <w:pStyle w:val="BodyText"/>
        <w:numPr>
          <w:ilvl w:val="0"/>
          <w:numId w:val="16"/>
        </w:numPr>
      </w:pPr>
      <w:r>
        <w:t xml:space="preserve">Input: </w:t>
      </w:r>
      <w:r w:rsidR="008A6831">
        <w:t xml:space="preserve">The horizon over which </w:t>
      </w:r>
      <w:r w:rsidR="005C7FC8">
        <w:t>earnings per share</w:t>
      </w:r>
      <w:r w:rsidR="008A6831">
        <w:t xml:space="preserve"> forecasts are explicitly available is </w:t>
      </w:r>
      <w:r>
        <w:t>two</w:t>
      </w:r>
      <w:r w:rsidR="008A6831">
        <w:t xml:space="preserve"> years.</w:t>
      </w:r>
    </w:p>
    <w:p w:rsidR="007450F6" w:rsidRDefault="007F52DD" w:rsidP="00006915">
      <w:pPr>
        <w:pStyle w:val="BodyText"/>
        <w:numPr>
          <w:ilvl w:val="0"/>
          <w:numId w:val="16"/>
        </w:numPr>
      </w:pPr>
      <w:r>
        <w:t xml:space="preserve">Input: </w:t>
      </w:r>
      <w:r w:rsidR="008A6831">
        <w:t>Current book value per share</w:t>
      </w:r>
      <w:r w:rsidR="00BF12A1">
        <w:t xml:space="preserve"> of common equity, i.e., excluding preferred shares and non-controlling interest.</w:t>
      </w:r>
    </w:p>
    <w:p w:rsidR="008A6831" w:rsidRDefault="007F52DD" w:rsidP="00006915">
      <w:pPr>
        <w:pStyle w:val="BodyText"/>
        <w:numPr>
          <w:ilvl w:val="0"/>
          <w:numId w:val="16"/>
        </w:numPr>
      </w:pPr>
      <w:r>
        <w:t xml:space="preserve">Input: </w:t>
      </w:r>
      <w:r w:rsidR="008F7C52">
        <w:t>Cost of equity derived using CAPM or subjective assessments.</w:t>
      </w:r>
    </w:p>
    <w:p w:rsidR="00B16803" w:rsidRDefault="007F52DD" w:rsidP="00E22914">
      <w:pPr>
        <w:pStyle w:val="BodyText"/>
        <w:numPr>
          <w:ilvl w:val="0"/>
          <w:numId w:val="16"/>
        </w:numPr>
      </w:pPr>
      <w:r>
        <w:t xml:space="preserve">Input: </w:t>
      </w:r>
      <w:r w:rsidR="000D2484">
        <w:t>Perpetual growth</w:t>
      </w:r>
      <w:r w:rsidR="008A6831">
        <w:t xml:space="preserve"> </w:t>
      </w:r>
      <w:r w:rsidR="00DA03D2">
        <w:t>rate in residual earnings,</w:t>
      </w:r>
      <w:r w:rsidR="004F5262">
        <w:t xml:space="preserve"> </w:t>
      </w:r>
      <w:r w:rsidR="00DA03D2">
        <w:t xml:space="preserve">growth rate </w:t>
      </w:r>
      <w:r w:rsidR="008A0F63">
        <w:t>beyond the two years</w:t>
      </w:r>
      <w:r w:rsidR="00DA03D2" w:rsidRPr="00DA03D2">
        <w:t>.</w:t>
      </w:r>
      <w:r w:rsidR="00B16803">
        <w:t xml:space="preserve"> </w:t>
      </w:r>
      <w:r w:rsidR="009A6B49">
        <w:t>S</w:t>
      </w:r>
      <w:r w:rsidR="00B16803">
        <w:t>ection 2.8 in the overview</w:t>
      </w:r>
      <w:r w:rsidR="009A6B49">
        <w:t xml:space="preserve"> recommends that</w:t>
      </w:r>
      <w:r w:rsidR="006B0959">
        <w:t>,</w:t>
      </w:r>
      <w:r w:rsidR="009A6B49">
        <w:t xml:space="preserve"> as a first cut, </w:t>
      </w:r>
      <w:r w:rsidR="00B16803">
        <w:t xml:space="preserve">g = </w:t>
      </w:r>
      <w:r w:rsidR="00A40B67">
        <w:t>r</w:t>
      </w:r>
      <w:r w:rsidR="00A40B67" w:rsidRPr="00E22914">
        <w:rPr>
          <w:vertAlign w:val="subscript"/>
        </w:rPr>
        <w:t>e</w:t>
      </w:r>
      <w:r w:rsidR="00B16803">
        <w:t xml:space="preserve"> – 6</w:t>
      </w:r>
      <w:r w:rsidR="00A40B67">
        <w:t>.</w:t>
      </w:r>
      <w:r w:rsidR="00B16803">
        <w:t>5</w:t>
      </w:r>
      <w:r w:rsidR="00A40B67">
        <w:t>%</w:t>
      </w:r>
      <w:r w:rsidR="00B16803">
        <w:t>.</w:t>
      </w:r>
    </w:p>
    <w:p w:rsidR="00347D6A" w:rsidRDefault="00347D6A" w:rsidP="00DE2CDC">
      <w:pPr>
        <w:pStyle w:val="BodyText"/>
        <w:numPr>
          <w:ilvl w:val="1"/>
          <w:numId w:val="16"/>
        </w:numPr>
      </w:pPr>
      <w:r>
        <w:t>Since residual earnings grow at g, the change in residual earnings also grows at g.</w:t>
      </w:r>
    </w:p>
    <w:p w:rsidR="00DE2CDC" w:rsidRDefault="00DE2CDC" w:rsidP="00DE2CDC">
      <w:pPr>
        <w:pStyle w:val="BodyText"/>
        <w:numPr>
          <w:ilvl w:val="1"/>
          <w:numId w:val="16"/>
        </w:numPr>
      </w:pPr>
      <w:r>
        <w:t>Since change in residual earnings = residual change in earnings, the growth rate in residual earnings is also the growth rate in residual change in earnings.</w:t>
      </w:r>
    </w:p>
    <w:p w:rsidR="00F04C45" w:rsidRDefault="001C61E1" w:rsidP="00F04C45">
      <w:pPr>
        <w:pStyle w:val="BodyText"/>
        <w:numPr>
          <w:ilvl w:val="1"/>
          <w:numId w:val="16"/>
        </w:numPr>
      </w:pPr>
      <w:r>
        <w:t>The growth rate g beyond the horizon refers to growth rate of residual earnings, not EPS. One can derive EPS growth rate from the perpetual growth rate in residual earnings coupled with other inputs.</w:t>
      </w:r>
    </w:p>
    <w:p w:rsidR="00F04C45" w:rsidRDefault="00F04C45" w:rsidP="00F04C45">
      <w:pPr>
        <w:pStyle w:val="BodyText"/>
        <w:numPr>
          <w:ilvl w:val="1"/>
          <w:numId w:val="16"/>
        </w:numPr>
      </w:pPr>
      <w:r>
        <w:t>Specifically, EPS growth typically exceeds g right after the horizon and the asymptotically attenuates to g.</w:t>
      </w:r>
    </w:p>
    <w:p w:rsidR="007F52DD" w:rsidRDefault="007F52DD" w:rsidP="00006915">
      <w:pPr>
        <w:pStyle w:val="BodyText"/>
        <w:numPr>
          <w:ilvl w:val="0"/>
          <w:numId w:val="16"/>
        </w:numPr>
      </w:pPr>
      <w:r>
        <w:t xml:space="preserve">Input: </w:t>
      </w:r>
      <w:r w:rsidR="00504ACC">
        <w:t>EPS</w:t>
      </w:r>
      <w:r>
        <w:t xml:space="preserve"> forecast</w:t>
      </w:r>
      <w:r w:rsidR="00906E2C">
        <w:t>s for</w:t>
      </w:r>
      <w:r w:rsidR="005C7FC8">
        <w:t xml:space="preserve"> the</w:t>
      </w:r>
      <w:r w:rsidR="00906E2C">
        <w:t xml:space="preserve"> two</w:t>
      </w:r>
      <w:r w:rsidR="00ED4091">
        <w:t xml:space="preserve"> forthcoming years.</w:t>
      </w:r>
      <w:r w:rsidR="00B7065B">
        <w:t xml:space="preserve"> As a first cut, one can use analyst forecasts available on web sites.</w:t>
      </w:r>
    </w:p>
    <w:p w:rsidR="00F359B8" w:rsidRDefault="00F359B8" w:rsidP="00F359B8">
      <w:pPr>
        <w:pStyle w:val="BodyText"/>
        <w:numPr>
          <w:ilvl w:val="1"/>
          <w:numId w:val="16"/>
        </w:numPr>
      </w:pPr>
      <w:r>
        <w:t>Generally, diluted EPS is used here.</w:t>
      </w:r>
    </w:p>
    <w:p w:rsidR="002972E9" w:rsidRDefault="00906E2C" w:rsidP="00006915">
      <w:pPr>
        <w:pStyle w:val="BodyText"/>
        <w:numPr>
          <w:ilvl w:val="0"/>
          <w:numId w:val="16"/>
        </w:numPr>
      </w:pPr>
      <w:r>
        <w:t>Input: Dividend payout ratio for the forthcoming y</w:t>
      </w:r>
      <w:r w:rsidR="00293DA1">
        <w:t>ear</w:t>
      </w:r>
      <w:r w:rsidR="00ED4091">
        <w:t>.</w:t>
      </w:r>
      <w:r w:rsidR="00293DA1">
        <w:t xml:space="preserve"> The model assumes that the dividend payout ratio will remain unchanged from </w:t>
      </w:r>
      <w:r w:rsidR="003F5370">
        <w:t>Y1</w:t>
      </w:r>
      <w:r w:rsidR="00293DA1">
        <w:t xml:space="preserve"> to </w:t>
      </w:r>
      <w:r w:rsidR="003F5370">
        <w:t>Y2</w:t>
      </w:r>
      <w:r w:rsidR="00293DA1">
        <w:t>. One can override this by typing in a new value</w:t>
      </w:r>
      <w:r w:rsidR="008445CD">
        <w:t xml:space="preserve"> for </w:t>
      </w:r>
      <w:r w:rsidR="003F5370">
        <w:t>Y2</w:t>
      </w:r>
      <w:r w:rsidR="00293DA1">
        <w:t xml:space="preserve">. </w:t>
      </w:r>
    </w:p>
    <w:p w:rsidR="00052819" w:rsidRDefault="002972E9" w:rsidP="004B4FEB">
      <w:pPr>
        <w:pStyle w:val="BodyText"/>
        <w:numPr>
          <w:ilvl w:val="1"/>
          <w:numId w:val="16"/>
        </w:numPr>
      </w:pPr>
      <w:r>
        <w:t xml:space="preserve">Advanced: </w:t>
      </w:r>
      <w:r w:rsidR="007C64DA">
        <w:t>T</w:t>
      </w:r>
      <w:r w:rsidR="00293DA1">
        <w:t>he dividend payout r</w:t>
      </w:r>
      <w:r w:rsidR="008445CD">
        <w:t xml:space="preserve">atios beyond </w:t>
      </w:r>
      <w:r w:rsidR="003F5370">
        <w:t>Y2</w:t>
      </w:r>
      <w:r w:rsidR="008445CD">
        <w:t xml:space="preserve"> are </w:t>
      </w:r>
      <w:r w:rsidR="007C64DA">
        <w:t>v</w:t>
      </w:r>
      <w:r w:rsidR="008445CD">
        <w:t xml:space="preserve">alue irrelevant, i.e., changing the payout beyond </w:t>
      </w:r>
      <w:r w:rsidR="003F5370">
        <w:t>Y2</w:t>
      </w:r>
      <w:r w:rsidR="008445CD">
        <w:t xml:space="preserve"> </w:t>
      </w:r>
      <w:r w:rsidR="00542F0A">
        <w:t>does</w:t>
      </w:r>
      <w:r w:rsidR="008445CD">
        <w:t xml:space="preserve"> no</w:t>
      </w:r>
      <w:r w:rsidR="00542F0A">
        <w:t>t</w:t>
      </w:r>
      <w:r w:rsidR="008445CD">
        <w:t xml:space="preserve"> affect stock price. </w:t>
      </w:r>
      <w:r w:rsidR="00CF07A1" w:rsidRPr="00CF07A1">
        <w:t>Any change in the dividend payout change</w:t>
      </w:r>
      <w:r w:rsidR="00542F0A">
        <w:t>s</w:t>
      </w:r>
      <w:r w:rsidR="00CF07A1" w:rsidRPr="00CF07A1">
        <w:t xml:space="preserve"> the pattern of dividend</w:t>
      </w:r>
      <w:r w:rsidR="00542F0A">
        <w:t>s</w:t>
      </w:r>
      <w:r w:rsidR="00CF07A1" w:rsidRPr="00CF07A1">
        <w:t xml:space="preserve">, but not its present value. </w:t>
      </w:r>
      <w:r w:rsidR="003745A4">
        <w:t>This property</w:t>
      </w:r>
      <w:r w:rsidR="003745A4" w:rsidRPr="00B7065B">
        <w:t xml:space="preserve"> is often referred to as “dividend policy irrelevance”.</w:t>
      </w:r>
      <w:r w:rsidR="003745A4">
        <w:t xml:space="preserve"> </w:t>
      </w:r>
      <w:r w:rsidR="00CF07A1" w:rsidRPr="00CF07A1">
        <w:t>The</w:t>
      </w:r>
      <w:r w:rsidR="00542F0A">
        <w:t xml:space="preserve"> point is subtle, yet intuitive</w:t>
      </w:r>
      <w:r w:rsidR="00CF07A1" w:rsidRPr="00CF07A1">
        <w:t>. To get a feel for it, note that an increase in dividends in year t</w:t>
      </w:r>
      <w:r w:rsidR="005F3DD6">
        <w:t xml:space="preserve"> reduces the reinvestment in the business. The lower reinvestment reduces future earnings and dividends due to earnings foregone on reduced reinvestment.</w:t>
      </w:r>
    </w:p>
    <w:p w:rsidR="00906E2C" w:rsidRDefault="00052819" w:rsidP="00052819">
      <w:pPr>
        <w:pStyle w:val="Left2"/>
      </w:pPr>
      <w:r>
        <w:t xml:space="preserve">Specifying a growth rate for earnings rather than residual earnings </w:t>
      </w:r>
      <w:r w:rsidR="007C64DA">
        <w:t xml:space="preserve"> </w:t>
      </w:r>
      <w:r>
        <w:t xml:space="preserve">would violate dividend policy irrelevancy because earnings would not respond to investments foregone due to dividends. </w:t>
      </w:r>
    </w:p>
    <w:p w:rsidR="00052819" w:rsidRDefault="00052819" w:rsidP="00052819">
      <w:pPr>
        <w:pStyle w:val="6pointSpacer"/>
      </w:pPr>
    </w:p>
    <w:p w:rsidR="00613DD0" w:rsidRDefault="00613DD0" w:rsidP="00006915">
      <w:pPr>
        <w:pStyle w:val="BodyText"/>
        <w:numPr>
          <w:ilvl w:val="1"/>
          <w:numId w:val="16"/>
        </w:numPr>
      </w:pPr>
      <w:r w:rsidRPr="00613DD0">
        <w:t>Ze</w:t>
      </w:r>
      <w:r>
        <w:t>ro dividends for Y1 and Y2 pos</w:t>
      </w:r>
      <w:r w:rsidR="00B32984">
        <w:t>e</w:t>
      </w:r>
      <w:r w:rsidRPr="00613DD0">
        <w:t xml:space="preserve"> no problems. The model effectively assumes that dividend payments will start at some point in the future, which ensures that PVED will not equal zero</w:t>
      </w:r>
      <w:r w:rsidR="00B7065B">
        <w:t>.</w:t>
      </w:r>
    </w:p>
    <w:p w:rsidR="00C92452" w:rsidRDefault="00C92452" w:rsidP="00C92452">
      <w:pPr>
        <w:pStyle w:val="Heading2"/>
      </w:pPr>
      <w:r>
        <w:t>Financial statements</w:t>
      </w:r>
    </w:p>
    <w:p w:rsidR="008445CD" w:rsidRDefault="00504ACC" w:rsidP="00006915">
      <w:pPr>
        <w:pStyle w:val="BodyText"/>
        <w:numPr>
          <w:ilvl w:val="0"/>
          <w:numId w:val="16"/>
        </w:numPr>
      </w:pPr>
      <w:r>
        <w:t>EPS</w:t>
      </w:r>
      <w:r w:rsidR="009B1422">
        <w:t xml:space="preserve"> for </w:t>
      </w:r>
      <w:r w:rsidR="00CF07A1">
        <w:t xml:space="preserve">year </w:t>
      </w:r>
      <w:r w:rsidR="009B1422">
        <w:t xml:space="preserve">Y1 and Y2. </w:t>
      </w:r>
      <w:r>
        <w:t>EPS</w:t>
      </w:r>
      <w:r w:rsidR="009B1422">
        <w:t xml:space="preserve"> for Y2 should not be copied across to </w:t>
      </w:r>
      <w:r>
        <w:t>EPS</w:t>
      </w:r>
      <w:r w:rsidR="009B1422">
        <w:t xml:space="preserve"> for Y3 and beyond because </w:t>
      </w:r>
      <w:r>
        <w:t>EPS</w:t>
      </w:r>
      <w:r w:rsidR="009B1422">
        <w:t xml:space="preserve"> for Y3 and beyond</w:t>
      </w:r>
      <w:r w:rsidR="00D43EAF">
        <w:t xml:space="preserve"> is derived based on forecasts of residual earnings for those years.</w:t>
      </w:r>
    </w:p>
    <w:p w:rsidR="00D43EAF" w:rsidRDefault="00432BB4" w:rsidP="00006915">
      <w:pPr>
        <w:pStyle w:val="BodyText"/>
        <w:numPr>
          <w:ilvl w:val="0"/>
          <w:numId w:val="16"/>
        </w:numPr>
      </w:pPr>
      <w:r>
        <w:t>D</w:t>
      </w:r>
      <w:r w:rsidR="00C92452">
        <w:t xml:space="preserve">ividends </w:t>
      </w:r>
      <w:r w:rsidR="002B4D6C">
        <w:t>=</w:t>
      </w:r>
      <w:r>
        <w:t xml:space="preserve"> </w:t>
      </w:r>
      <w:r w:rsidR="00A13D0F">
        <w:t xml:space="preserve">earnings </w:t>
      </w:r>
      <w:r w:rsidR="002B4D6C">
        <w:t xml:space="preserve">* </w:t>
      </w:r>
      <w:r>
        <w:t>payout ratio.</w:t>
      </w:r>
    </w:p>
    <w:p w:rsidR="00432BB4" w:rsidRDefault="00C92452" w:rsidP="00006915">
      <w:pPr>
        <w:pStyle w:val="BodyText"/>
        <w:numPr>
          <w:ilvl w:val="0"/>
          <w:numId w:val="16"/>
        </w:numPr>
      </w:pPr>
      <w:r>
        <w:t>Book value per share (</w:t>
      </w:r>
      <w:r w:rsidR="00F1650E">
        <w:t>b</w:t>
      </w:r>
      <w:r w:rsidR="005C7FC8" w:rsidRPr="005C7FC8">
        <w:rPr>
          <w:vertAlign w:val="subscript"/>
        </w:rPr>
        <w:t>0</w:t>
      </w:r>
      <w:r>
        <w:t xml:space="preserve">) at the end of </w:t>
      </w:r>
      <w:r w:rsidR="003F5370">
        <w:t>Y0</w:t>
      </w:r>
      <w:r>
        <w:t>. This should not be copied across.</w:t>
      </w:r>
    </w:p>
    <w:p w:rsidR="00C92452" w:rsidRDefault="005C7FC8" w:rsidP="00006915">
      <w:pPr>
        <w:pStyle w:val="BodyText"/>
        <w:numPr>
          <w:ilvl w:val="0"/>
          <w:numId w:val="16"/>
        </w:numPr>
      </w:pPr>
      <w:r>
        <w:t>b</w:t>
      </w:r>
      <w:r w:rsidRPr="00A13D0F">
        <w:rPr>
          <w:vertAlign w:val="subscript"/>
        </w:rPr>
        <w:t>t</w:t>
      </w:r>
      <w:r>
        <w:t>= b</w:t>
      </w:r>
      <w:r w:rsidRPr="00A13D0F">
        <w:rPr>
          <w:vertAlign w:val="subscript"/>
        </w:rPr>
        <w:t>t</w:t>
      </w:r>
      <w:r w:rsidR="00DC3538">
        <w:rPr>
          <w:vertAlign w:val="subscript"/>
        </w:rPr>
        <w:t>-1</w:t>
      </w:r>
      <w:r>
        <w:t xml:space="preserve"> + e</w:t>
      </w:r>
      <w:r w:rsidRPr="00A13D0F">
        <w:rPr>
          <w:vertAlign w:val="subscript"/>
        </w:rPr>
        <w:t>t</w:t>
      </w:r>
      <w:r>
        <w:t xml:space="preserve"> - d</w:t>
      </w:r>
      <w:r w:rsidRPr="00A13D0F">
        <w:rPr>
          <w:vertAlign w:val="subscript"/>
        </w:rPr>
        <w:t>t</w:t>
      </w:r>
      <w:r w:rsidR="00A13D0F">
        <w:t xml:space="preserve"> [Ending book value = Beginning book value + earnings – dividends]</w:t>
      </w:r>
    </w:p>
    <w:p w:rsidR="008E65AC" w:rsidRDefault="002B4D6C" w:rsidP="00225B7F">
      <w:pPr>
        <w:pStyle w:val="BodyText"/>
        <w:numPr>
          <w:ilvl w:val="0"/>
          <w:numId w:val="16"/>
        </w:numPr>
      </w:pPr>
      <w:r>
        <w:t>Charge for equity = c</w:t>
      </w:r>
      <w:r w:rsidR="001D5F2D">
        <w:t xml:space="preserve">ost of equity * </w:t>
      </w:r>
      <w:r w:rsidR="004C1DE5">
        <w:t xml:space="preserve">beginning </w:t>
      </w:r>
      <w:r w:rsidR="00DC3538">
        <w:t>book value = r</w:t>
      </w:r>
      <w:r w:rsidR="00DC3538" w:rsidRPr="00DC3538">
        <w:rPr>
          <w:vertAlign w:val="subscript"/>
        </w:rPr>
        <w:t>e</w:t>
      </w:r>
      <w:r w:rsidR="00DC3538">
        <w:t xml:space="preserve"> * b</w:t>
      </w:r>
      <w:r w:rsidR="00DC3538" w:rsidRPr="00DC3538">
        <w:rPr>
          <w:vertAlign w:val="subscript"/>
        </w:rPr>
        <w:t>t-1</w:t>
      </w:r>
    </w:p>
    <w:p w:rsidR="007E140B" w:rsidRDefault="00F438DE" w:rsidP="00006915">
      <w:pPr>
        <w:pStyle w:val="BodyText"/>
        <w:numPr>
          <w:ilvl w:val="0"/>
          <w:numId w:val="16"/>
        </w:numPr>
      </w:pPr>
      <w:r>
        <w:t xml:space="preserve">Residual earnings </w:t>
      </w:r>
      <w:r w:rsidR="00B32984">
        <w:t xml:space="preserve">until the horizon </w:t>
      </w:r>
      <w:r>
        <w:t xml:space="preserve">= </w:t>
      </w:r>
      <w:r w:rsidR="00DC3538">
        <w:t>earnings – charge for equity = e</w:t>
      </w:r>
      <w:r w:rsidR="00DC3538" w:rsidRPr="00DC3538">
        <w:rPr>
          <w:vertAlign w:val="subscript"/>
        </w:rPr>
        <w:t>t</w:t>
      </w:r>
      <w:r w:rsidR="00DC3538">
        <w:t xml:space="preserve"> – r</w:t>
      </w:r>
      <w:r w:rsidR="00DC3538" w:rsidRPr="00DC3538">
        <w:rPr>
          <w:vertAlign w:val="subscript"/>
        </w:rPr>
        <w:t>e</w:t>
      </w:r>
      <w:r w:rsidR="00DC3538">
        <w:t xml:space="preserve"> * b</w:t>
      </w:r>
      <w:r w:rsidR="00DC3538" w:rsidRPr="00DC3538">
        <w:rPr>
          <w:vertAlign w:val="subscript"/>
        </w:rPr>
        <w:t>t-1</w:t>
      </w:r>
    </w:p>
    <w:p w:rsidR="00F438DE" w:rsidRDefault="002B4D6C" w:rsidP="00006915">
      <w:pPr>
        <w:pStyle w:val="BodyText"/>
        <w:numPr>
          <w:ilvl w:val="0"/>
          <w:numId w:val="16"/>
        </w:numPr>
      </w:pPr>
      <w:r>
        <w:t xml:space="preserve">Residual earnings beyond the horizon = Previous residual earnings * (1 + </w:t>
      </w:r>
      <w:r w:rsidR="000D2484">
        <w:t>perpetual growth</w:t>
      </w:r>
      <w:r>
        <w:t xml:space="preserve"> rate of residual earnings)</w:t>
      </w:r>
    </w:p>
    <w:p w:rsidR="002B4D6C" w:rsidRDefault="002B4D6C" w:rsidP="00006915">
      <w:pPr>
        <w:pStyle w:val="BodyText"/>
        <w:numPr>
          <w:ilvl w:val="0"/>
          <w:numId w:val="16"/>
        </w:numPr>
      </w:pPr>
      <w:r>
        <w:t xml:space="preserve">As stated before, charge for equity = cost of equity * </w:t>
      </w:r>
      <w:r w:rsidR="004C1DE5">
        <w:t xml:space="preserve">beginning </w:t>
      </w:r>
      <w:r w:rsidR="00DC3538">
        <w:t>equity = r</w:t>
      </w:r>
      <w:r w:rsidR="00DC3538" w:rsidRPr="00DC3538">
        <w:rPr>
          <w:vertAlign w:val="subscript"/>
        </w:rPr>
        <w:t>e</w:t>
      </w:r>
      <w:r w:rsidR="00DC3538">
        <w:t xml:space="preserve"> * b</w:t>
      </w:r>
      <w:r w:rsidR="00DC3538" w:rsidRPr="00DC3538">
        <w:rPr>
          <w:vertAlign w:val="subscript"/>
        </w:rPr>
        <w:t>t-1</w:t>
      </w:r>
    </w:p>
    <w:p w:rsidR="002B4D6C" w:rsidRDefault="00DC3538" w:rsidP="00006915">
      <w:pPr>
        <w:pStyle w:val="BodyText"/>
        <w:numPr>
          <w:ilvl w:val="0"/>
          <w:numId w:val="16"/>
        </w:numPr>
      </w:pPr>
      <w:r>
        <w:t>Earnings = r</w:t>
      </w:r>
      <w:r w:rsidR="002B4D6C">
        <w:t xml:space="preserve">esidual earnings + </w:t>
      </w:r>
      <w:r>
        <w:t>c</w:t>
      </w:r>
      <w:r w:rsidR="002B4D6C">
        <w:t>harge for equity</w:t>
      </w:r>
      <w:r>
        <w:t>, i.e., e</w:t>
      </w:r>
      <w:r w:rsidRPr="00DC3538">
        <w:rPr>
          <w:vertAlign w:val="subscript"/>
        </w:rPr>
        <w:t>t</w:t>
      </w:r>
      <w:r>
        <w:t xml:space="preserve"> = residual e</w:t>
      </w:r>
      <w:r w:rsidRPr="00DC3538">
        <w:rPr>
          <w:vertAlign w:val="subscript"/>
        </w:rPr>
        <w:t>t</w:t>
      </w:r>
      <w:r>
        <w:t xml:space="preserve"> + r</w:t>
      </w:r>
      <w:r w:rsidRPr="00DC3538">
        <w:rPr>
          <w:vertAlign w:val="subscript"/>
        </w:rPr>
        <w:t>e</w:t>
      </w:r>
      <w:r>
        <w:t xml:space="preserve"> * b</w:t>
      </w:r>
      <w:r w:rsidRPr="00DC3538">
        <w:rPr>
          <w:vertAlign w:val="subscript"/>
        </w:rPr>
        <w:t>t-1</w:t>
      </w:r>
    </w:p>
    <w:p w:rsidR="00584062" w:rsidRDefault="00584062" w:rsidP="00584062">
      <w:pPr>
        <w:pStyle w:val="BodyText"/>
        <w:numPr>
          <w:ilvl w:val="1"/>
          <w:numId w:val="16"/>
        </w:numPr>
      </w:pPr>
      <w:r w:rsidRPr="00584062">
        <w:t xml:space="preserve">This step shows how </w:t>
      </w:r>
      <w:r w:rsidR="00886B9D" w:rsidRPr="00584062">
        <w:t xml:space="preserve">residual earnings </w:t>
      </w:r>
      <w:r w:rsidR="00886B9D">
        <w:t xml:space="preserve">drive </w:t>
      </w:r>
      <w:r w:rsidRPr="00584062">
        <w:t>earnings</w:t>
      </w:r>
      <w:r w:rsidR="00886B9D">
        <w:t>, which then drive dividends based on the payout assumption</w:t>
      </w:r>
      <w:r w:rsidRPr="00584062">
        <w:t>. Taken together, the steps show how the input</w:t>
      </w:r>
      <w:r>
        <w:t xml:space="preserve">s </w:t>
      </w:r>
      <w:r w:rsidRPr="00584062">
        <w:t>lead to a sequence of dividends.</w:t>
      </w:r>
    </w:p>
    <w:p w:rsidR="002B4D6C" w:rsidRDefault="002B4D6C" w:rsidP="00006915">
      <w:pPr>
        <w:pStyle w:val="BodyText"/>
        <w:numPr>
          <w:ilvl w:val="0"/>
          <w:numId w:val="16"/>
        </w:numPr>
      </w:pPr>
      <w:r>
        <w:t xml:space="preserve">As stated before, </w:t>
      </w:r>
      <w:r w:rsidR="00DC3538">
        <w:t>dividends</w:t>
      </w:r>
      <w:r>
        <w:t xml:space="preserve"> = </w:t>
      </w:r>
      <w:r w:rsidR="00DC3538">
        <w:t>earnings</w:t>
      </w:r>
      <w:r>
        <w:t xml:space="preserve"> * payout ratio.</w:t>
      </w:r>
      <w:r w:rsidR="00674CE0">
        <w:t xml:space="preserve"> As indicated before, a change in the Y2 payout ratio will not affect value.</w:t>
      </w:r>
    </w:p>
    <w:p w:rsidR="002B4D6C" w:rsidRDefault="002B4D6C" w:rsidP="00006915">
      <w:pPr>
        <w:pStyle w:val="BodyText"/>
        <w:numPr>
          <w:ilvl w:val="0"/>
          <w:numId w:val="16"/>
        </w:numPr>
      </w:pPr>
      <w:r>
        <w:t xml:space="preserve">As stated before, </w:t>
      </w:r>
      <w:r w:rsidR="00445628">
        <w:t>e</w:t>
      </w:r>
      <w:r w:rsidR="00DC3538">
        <w:t xml:space="preserve">nding book value </w:t>
      </w:r>
      <w:r>
        <w:t xml:space="preserve">= </w:t>
      </w:r>
      <w:r w:rsidR="00445628">
        <w:t>b</w:t>
      </w:r>
      <w:r w:rsidR="004C1DE5">
        <w:t>eginning</w:t>
      </w:r>
      <w:r>
        <w:t xml:space="preserve"> </w:t>
      </w:r>
      <w:r w:rsidR="00DC3538">
        <w:t>book value + earnings – dividends</w:t>
      </w:r>
      <w:r w:rsidR="00445628">
        <w:t xml:space="preserve"> (</w:t>
      </w:r>
      <w:r w:rsidR="00DC3538">
        <w:t>b</w:t>
      </w:r>
      <w:r w:rsidR="00DC3538" w:rsidRPr="00CF4F73">
        <w:rPr>
          <w:vertAlign w:val="subscript"/>
        </w:rPr>
        <w:t>t</w:t>
      </w:r>
      <w:r w:rsidR="00DC3538">
        <w:t xml:space="preserve"> = b</w:t>
      </w:r>
      <w:r w:rsidR="00DC3538" w:rsidRPr="00CF4F73">
        <w:rPr>
          <w:vertAlign w:val="subscript"/>
        </w:rPr>
        <w:t>t-1</w:t>
      </w:r>
      <w:r w:rsidR="00DC3538">
        <w:t xml:space="preserve"> + e</w:t>
      </w:r>
      <w:r w:rsidR="00DC3538" w:rsidRPr="00CF4F73">
        <w:rPr>
          <w:vertAlign w:val="subscript"/>
        </w:rPr>
        <w:t>t</w:t>
      </w:r>
      <w:r w:rsidR="00DC3538">
        <w:t xml:space="preserve"> – d</w:t>
      </w:r>
      <w:r w:rsidR="00DC3538" w:rsidRPr="00CF4F73">
        <w:rPr>
          <w:vertAlign w:val="subscript"/>
        </w:rPr>
        <w:t>t</w:t>
      </w:r>
      <w:r w:rsidR="00445628">
        <w:t>).</w:t>
      </w:r>
    </w:p>
    <w:p w:rsidR="003C4BFE" w:rsidRPr="009508BF" w:rsidRDefault="003C4BFE" w:rsidP="003C4BFE">
      <w:pPr>
        <w:pStyle w:val="Heading3"/>
      </w:pPr>
      <w:r>
        <w:t>Growth rates and returns</w:t>
      </w:r>
    </w:p>
    <w:p w:rsidR="00006915" w:rsidRDefault="003C4BFE" w:rsidP="00006915">
      <w:pPr>
        <w:pStyle w:val="BodyText"/>
        <w:numPr>
          <w:ilvl w:val="0"/>
          <w:numId w:val="16"/>
        </w:numPr>
      </w:pPr>
      <w:r>
        <w:t xml:space="preserve">Earnings growth rate = </w:t>
      </w:r>
      <w:r w:rsidR="005D0AB7">
        <w:t>(e</w:t>
      </w:r>
      <w:r w:rsidR="005D0AB7" w:rsidRPr="00CF4F73">
        <w:rPr>
          <w:vertAlign w:val="subscript"/>
        </w:rPr>
        <w:t>t</w:t>
      </w:r>
      <w:r w:rsidR="005D0AB7">
        <w:t xml:space="preserve"> - e</w:t>
      </w:r>
      <w:r w:rsidR="005D0AB7" w:rsidRPr="00CF4F73">
        <w:rPr>
          <w:vertAlign w:val="subscript"/>
        </w:rPr>
        <w:t>t-1</w:t>
      </w:r>
      <w:r w:rsidR="005D0AB7">
        <w:t>)/</w:t>
      </w:r>
      <w:r w:rsidR="005D0AB7" w:rsidRPr="005D0AB7">
        <w:t xml:space="preserve"> </w:t>
      </w:r>
      <w:r w:rsidR="005D0AB7">
        <w:t>e</w:t>
      </w:r>
      <w:r w:rsidR="005D0AB7" w:rsidRPr="00CF4F73">
        <w:rPr>
          <w:vertAlign w:val="subscript"/>
        </w:rPr>
        <w:t>t-1</w:t>
      </w:r>
      <w:r w:rsidR="005D0AB7">
        <w:t xml:space="preserve">= </w:t>
      </w:r>
      <w:r>
        <w:t>(e</w:t>
      </w:r>
      <w:r w:rsidRPr="00CF4F73">
        <w:rPr>
          <w:vertAlign w:val="subscript"/>
        </w:rPr>
        <w:t>t</w:t>
      </w:r>
      <w:r>
        <w:t>/e</w:t>
      </w:r>
      <w:r w:rsidRPr="00CF4F73">
        <w:rPr>
          <w:vertAlign w:val="subscript"/>
        </w:rPr>
        <w:t>t-1</w:t>
      </w:r>
      <w:r>
        <w:t xml:space="preserve">) </w:t>
      </w:r>
      <w:r w:rsidR="00006915">
        <w:t>–</w:t>
      </w:r>
      <w:r>
        <w:t xml:space="preserve"> 1</w:t>
      </w:r>
    </w:p>
    <w:p w:rsidR="003C4BFE" w:rsidRDefault="003C4BFE" w:rsidP="00006915">
      <w:pPr>
        <w:pStyle w:val="BodyText"/>
        <w:numPr>
          <w:ilvl w:val="1"/>
          <w:numId w:val="16"/>
        </w:numPr>
      </w:pPr>
      <w:r>
        <w:t xml:space="preserve">Advanced: Beyond the explicit forecast horizon, the earnings growth rate </w:t>
      </w:r>
      <w:r w:rsidR="005C03D0">
        <w:t>need not</w:t>
      </w:r>
      <w:r>
        <w:t xml:space="preserve"> equal the growth rate in residual earnings. The earnings growth </w:t>
      </w:r>
      <w:r w:rsidR="005C03D0">
        <w:t>equals</w:t>
      </w:r>
      <w:r>
        <w:t xml:space="preserve"> residual earnings growth only if the dividend policy is such that the book value grows at the same rate as the residual earnings. Alternatively, earnings </w:t>
      </w:r>
      <w:r w:rsidR="005C03D0">
        <w:t xml:space="preserve">grow at the same rate as </w:t>
      </w:r>
      <w:r>
        <w:t xml:space="preserve">residual earnings only if </w:t>
      </w:r>
      <w:r w:rsidR="005C03D0">
        <w:t>ROE</w:t>
      </w:r>
      <w:r>
        <w:t xml:space="preserve"> is constant.</w:t>
      </w:r>
    </w:p>
    <w:p w:rsidR="003C4BFE" w:rsidRDefault="003C4BFE" w:rsidP="00006915">
      <w:pPr>
        <w:pStyle w:val="BodyText"/>
        <w:numPr>
          <w:ilvl w:val="0"/>
          <w:numId w:val="16"/>
        </w:numPr>
      </w:pPr>
      <w:r>
        <w:t xml:space="preserve">Dividends growth rate </w:t>
      </w:r>
    </w:p>
    <w:p w:rsidR="003C4BFE" w:rsidRDefault="003C4BFE" w:rsidP="00006915">
      <w:pPr>
        <w:pStyle w:val="BodyText"/>
        <w:numPr>
          <w:ilvl w:val="0"/>
          <w:numId w:val="16"/>
        </w:numPr>
      </w:pPr>
      <w:r>
        <w:t xml:space="preserve">Book value growth rate </w:t>
      </w:r>
    </w:p>
    <w:p w:rsidR="003C4BFE" w:rsidRDefault="003C4BFE" w:rsidP="00006915">
      <w:pPr>
        <w:pStyle w:val="BodyText"/>
        <w:numPr>
          <w:ilvl w:val="0"/>
          <w:numId w:val="16"/>
        </w:numPr>
      </w:pPr>
      <w:r>
        <w:t xml:space="preserve">Residual earnings growth rate </w:t>
      </w:r>
    </w:p>
    <w:p w:rsidR="003C4BFE" w:rsidRDefault="003C4BFE" w:rsidP="005B2FB8">
      <w:pPr>
        <w:pStyle w:val="BodyText"/>
        <w:numPr>
          <w:ilvl w:val="1"/>
          <w:numId w:val="16"/>
        </w:numPr>
      </w:pPr>
      <w:r>
        <w:t>Beyond the horizon year, we have specified this growth rate as an input.</w:t>
      </w:r>
    </w:p>
    <w:p w:rsidR="003C4BFE" w:rsidRDefault="003C4BFE" w:rsidP="00006915">
      <w:pPr>
        <w:pStyle w:val="BodyText"/>
        <w:numPr>
          <w:ilvl w:val="0"/>
          <w:numId w:val="16"/>
        </w:numPr>
      </w:pPr>
      <w:r>
        <w:t>Return on equity = earnings/beginning book value = e</w:t>
      </w:r>
      <w:r w:rsidRPr="00542CED">
        <w:rPr>
          <w:vertAlign w:val="subscript"/>
        </w:rPr>
        <w:t>t</w:t>
      </w:r>
      <w:r>
        <w:t>/b</w:t>
      </w:r>
      <w:r w:rsidRPr="00542CED">
        <w:rPr>
          <w:vertAlign w:val="subscript"/>
        </w:rPr>
        <w:t>t-1</w:t>
      </w:r>
      <w:r>
        <w:t>.</w:t>
      </w:r>
    </w:p>
    <w:p w:rsidR="002B4D6C" w:rsidRDefault="002B4D6C" w:rsidP="002B4D6C">
      <w:pPr>
        <w:pStyle w:val="Heading2"/>
      </w:pPr>
      <w:r>
        <w:t xml:space="preserve">Intermediate </w:t>
      </w:r>
      <w:r w:rsidR="00660C82">
        <w:t xml:space="preserve">optional </w:t>
      </w:r>
      <w:r>
        <w:t xml:space="preserve">computations for Discounted Dividends and Residual Income </w:t>
      </w:r>
      <w:r w:rsidR="00660C82">
        <w:t>Models</w:t>
      </w:r>
    </w:p>
    <w:p w:rsidR="007450F6" w:rsidRDefault="00D60268" w:rsidP="00D60268">
      <w:pPr>
        <w:pStyle w:val="Heading3"/>
      </w:pPr>
      <w:r>
        <w:t>Terminal value computation</w:t>
      </w:r>
    </w:p>
    <w:p w:rsidR="00B15629" w:rsidRDefault="00274CC5" w:rsidP="00492BBF">
      <w:r>
        <w:t>Under r</w:t>
      </w:r>
      <w:r w:rsidR="00B15629">
        <w:t>esidual income valuation</w:t>
      </w:r>
      <w:r>
        <w:t xml:space="preserve"> model, p</w:t>
      </w:r>
      <w:r w:rsidR="00B15629">
        <w:t xml:space="preserve">rice = </w:t>
      </w:r>
      <w:r>
        <w:t>book value + p</w:t>
      </w:r>
      <w:r w:rsidR="00B15629">
        <w:t>resent value of residual earnings</w:t>
      </w:r>
    </w:p>
    <w:p w:rsidR="00446C1C" w:rsidRDefault="00446C1C" w:rsidP="00492BBF"/>
    <w:tbl>
      <w:tblPr>
        <w:tblW w:w="0" w:type="auto"/>
        <w:tblLook w:val="01E0" w:firstRow="1" w:lastRow="1" w:firstColumn="1" w:lastColumn="1" w:noHBand="0" w:noVBand="0"/>
      </w:tblPr>
      <w:tblGrid>
        <w:gridCol w:w="1539"/>
        <w:gridCol w:w="2034"/>
        <w:gridCol w:w="341"/>
        <w:gridCol w:w="5086"/>
      </w:tblGrid>
      <w:tr w:rsidR="00446C1C" w:rsidTr="00E46A76">
        <w:trPr>
          <w:cantSplit/>
        </w:trPr>
        <w:tc>
          <w:tcPr>
            <w:tcW w:w="0" w:type="auto"/>
          </w:tcPr>
          <w:p w:rsidR="00446C1C" w:rsidRPr="00FE337A" w:rsidRDefault="00446C1C" w:rsidP="00E46A76">
            <w:pPr>
              <w:keepNext/>
              <w:jc w:val="center"/>
            </w:pPr>
            <w:r>
              <w:t>P</w:t>
            </w:r>
            <w:r>
              <w:rPr>
                <w:vertAlign w:val="subscript"/>
              </w:rPr>
              <w:t>2</w:t>
            </w:r>
            <w:r>
              <w:t xml:space="preserve"> =</w:t>
            </w:r>
          </w:p>
        </w:tc>
        <w:tc>
          <w:tcPr>
            <w:tcW w:w="0" w:type="auto"/>
          </w:tcPr>
          <w:p w:rsidR="00446C1C" w:rsidRDefault="00446C1C" w:rsidP="00E46A76">
            <w:pPr>
              <w:keepNext/>
              <w:jc w:val="center"/>
            </w:pPr>
            <w:r>
              <w:t>b</w:t>
            </w:r>
            <w:r>
              <w:rPr>
                <w:vertAlign w:val="subscript"/>
              </w:rPr>
              <w:t>2</w:t>
            </w:r>
          </w:p>
        </w:tc>
        <w:tc>
          <w:tcPr>
            <w:tcW w:w="0" w:type="auto"/>
          </w:tcPr>
          <w:p w:rsidR="00446C1C" w:rsidRDefault="00446C1C" w:rsidP="00E46A76">
            <w:pPr>
              <w:keepNext/>
              <w:jc w:val="center"/>
            </w:pPr>
            <w:r>
              <w:t>+</w:t>
            </w:r>
          </w:p>
        </w:tc>
        <w:tc>
          <w:tcPr>
            <w:tcW w:w="0" w:type="auto"/>
            <w:tcBorders>
              <w:bottom w:val="single" w:sz="2" w:space="0" w:color="auto"/>
            </w:tcBorders>
          </w:tcPr>
          <w:p w:rsidR="00446C1C" w:rsidRDefault="00446C1C" w:rsidP="00E46A76">
            <w:pPr>
              <w:keepNext/>
              <w:jc w:val="center"/>
            </w:pPr>
            <w:r>
              <w:t>Residual earnings in Y3</w:t>
            </w:r>
          </w:p>
        </w:tc>
      </w:tr>
      <w:tr w:rsidR="00446C1C" w:rsidTr="00446C1C">
        <w:trPr>
          <w:cantSplit/>
        </w:trPr>
        <w:tc>
          <w:tcPr>
            <w:tcW w:w="0" w:type="auto"/>
          </w:tcPr>
          <w:p w:rsidR="00446C1C" w:rsidRDefault="00446C1C" w:rsidP="00E46A76">
            <w:pPr>
              <w:keepNext/>
              <w:jc w:val="center"/>
            </w:pPr>
          </w:p>
        </w:tc>
        <w:tc>
          <w:tcPr>
            <w:tcW w:w="0" w:type="auto"/>
          </w:tcPr>
          <w:p w:rsidR="00446C1C" w:rsidRDefault="00446C1C" w:rsidP="00E46A76">
            <w:pPr>
              <w:keepNext/>
              <w:jc w:val="center"/>
            </w:pPr>
          </w:p>
        </w:tc>
        <w:tc>
          <w:tcPr>
            <w:tcW w:w="0" w:type="auto"/>
          </w:tcPr>
          <w:p w:rsidR="00446C1C" w:rsidRDefault="00446C1C" w:rsidP="00E46A76">
            <w:pPr>
              <w:keepNext/>
              <w:jc w:val="center"/>
            </w:pPr>
          </w:p>
        </w:tc>
        <w:tc>
          <w:tcPr>
            <w:tcW w:w="0" w:type="auto"/>
            <w:tcBorders>
              <w:top w:val="single" w:sz="2" w:space="0" w:color="auto"/>
            </w:tcBorders>
          </w:tcPr>
          <w:p w:rsidR="00446C1C" w:rsidRDefault="00446C1C" w:rsidP="00E46A76">
            <w:pPr>
              <w:keepNext/>
              <w:jc w:val="center"/>
            </w:pPr>
            <w:r>
              <w:t>(r</w:t>
            </w:r>
            <w:r w:rsidRPr="00FE337A">
              <w:rPr>
                <w:vertAlign w:val="subscript"/>
              </w:rPr>
              <w:t>e</w:t>
            </w:r>
            <w:r>
              <w:t xml:space="preserve"> -g)</w:t>
            </w:r>
          </w:p>
        </w:tc>
      </w:tr>
      <w:tr w:rsidR="00446C1C" w:rsidTr="00446C1C">
        <w:trPr>
          <w:cantSplit/>
        </w:trPr>
        <w:tc>
          <w:tcPr>
            <w:tcW w:w="0" w:type="auto"/>
          </w:tcPr>
          <w:p w:rsidR="00446C1C" w:rsidRDefault="00446C1C" w:rsidP="00E46A76">
            <w:pPr>
              <w:keepNext/>
              <w:jc w:val="center"/>
            </w:pPr>
            <w:r>
              <w:t>Terminal value</w:t>
            </w:r>
          </w:p>
        </w:tc>
        <w:tc>
          <w:tcPr>
            <w:tcW w:w="0" w:type="auto"/>
          </w:tcPr>
          <w:p w:rsidR="00446C1C" w:rsidRDefault="00446C1C" w:rsidP="00E46A76">
            <w:pPr>
              <w:keepNext/>
              <w:jc w:val="center"/>
            </w:pPr>
            <w:r>
              <w:t>Terminal book value</w:t>
            </w:r>
          </w:p>
        </w:tc>
        <w:tc>
          <w:tcPr>
            <w:tcW w:w="0" w:type="auto"/>
          </w:tcPr>
          <w:p w:rsidR="00446C1C" w:rsidRDefault="00446C1C" w:rsidP="00E46A76">
            <w:pPr>
              <w:keepNext/>
              <w:jc w:val="center"/>
            </w:pPr>
          </w:p>
        </w:tc>
        <w:tc>
          <w:tcPr>
            <w:tcW w:w="0" w:type="auto"/>
          </w:tcPr>
          <w:p w:rsidR="00446C1C" w:rsidRDefault="00446C1C" w:rsidP="00E46A76">
            <w:pPr>
              <w:keepNext/>
              <w:jc w:val="center"/>
            </w:pPr>
            <w:r>
              <w:t>PV of perpetuity of residual earnings in Y3 and beyond</w:t>
            </w:r>
          </w:p>
        </w:tc>
      </w:tr>
    </w:tbl>
    <w:p w:rsidR="00446C1C" w:rsidRDefault="00446C1C" w:rsidP="00492BBF"/>
    <w:p w:rsidR="0023680A" w:rsidRDefault="00ED2F38" w:rsidP="00006915">
      <w:pPr>
        <w:pStyle w:val="BodyText"/>
        <w:numPr>
          <w:ilvl w:val="0"/>
          <w:numId w:val="16"/>
        </w:numPr>
      </w:pPr>
      <w:r>
        <w:t>Book value at the end of Y2</w:t>
      </w:r>
      <w:r w:rsidR="0023680A">
        <w:t xml:space="preserve"> </w:t>
      </w:r>
      <w:r w:rsidR="00446C1C">
        <w:t>(b</w:t>
      </w:r>
      <w:r w:rsidR="00446C1C" w:rsidRPr="00446C1C">
        <w:rPr>
          <w:vertAlign w:val="subscript"/>
        </w:rPr>
        <w:t>2</w:t>
      </w:r>
      <w:r w:rsidR="00446C1C">
        <w:t xml:space="preserve">) was </w:t>
      </w:r>
      <w:r w:rsidR="0023680A">
        <w:t>derived earlier.</w:t>
      </w:r>
    </w:p>
    <w:p w:rsidR="00446C1C" w:rsidRDefault="00446C1C" w:rsidP="00006915">
      <w:pPr>
        <w:pStyle w:val="BodyText"/>
        <w:numPr>
          <w:ilvl w:val="0"/>
          <w:numId w:val="16"/>
        </w:numPr>
      </w:pPr>
      <w:r>
        <w:t>R</w:t>
      </w:r>
      <w:r w:rsidR="00ED2F38">
        <w:t xml:space="preserve">esidual earnings have been assumed to grow at the </w:t>
      </w:r>
      <w:r>
        <w:t>constant perpetual growth rate. Therefore, we know the residual earnings in Y3.</w:t>
      </w:r>
    </w:p>
    <w:p w:rsidR="00274CC5" w:rsidRDefault="00274CC5" w:rsidP="00006915">
      <w:pPr>
        <w:pStyle w:val="BodyText"/>
        <w:numPr>
          <w:ilvl w:val="0"/>
          <w:numId w:val="16"/>
        </w:numPr>
      </w:pPr>
      <w:r>
        <w:t>Terminal value = Terminal book value + PV of residual earnings beyond the terminal year.</w:t>
      </w:r>
    </w:p>
    <w:p w:rsidR="00274CC5" w:rsidRDefault="00274CC5" w:rsidP="00006915">
      <w:pPr>
        <w:pStyle w:val="BodyText"/>
      </w:pPr>
      <w:r>
        <w:t>Under</w:t>
      </w:r>
      <w:r w:rsidR="00464569">
        <w:t xml:space="preserve"> </w:t>
      </w:r>
      <w:r w:rsidR="0038277C">
        <w:t xml:space="preserve">the discounted </w:t>
      </w:r>
      <w:r w:rsidR="00464569">
        <w:t>dividend</w:t>
      </w:r>
      <w:r w:rsidR="0038277C">
        <w:t>s m</w:t>
      </w:r>
      <w:r>
        <w:t>odel, price = pr</w:t>
      </w:r>
      <w:r w:rsidR="00464569">
        <w:t>esent value of dividends</w:t>
      </w:r>
    </w:p>
    <w:p w:rsidR="000E439B" w:rsidRDefault="00C5430E" w:rsidP="00006915">
      <w:pPr>
        <w:pStyle w:val="BodyText"/>
        <w:numPr>
          <w:ilvl w:val="0"/>
          <w:numId w:val="16"/>
        </w:numPr>
      </w:pPr>
      <w:r>
        <w:t>Advanced</w:t>
      </w:r>
      <w:r w:rsidR="00BA2394">
        <w:t xml:space="preserve"> point that SHOULD be skipped</w:t>
      </w:r>
      <w:r>
        <w:t>:</w:t>
      </w:r>
      <w:r w:rsidR="00BA2394">
        <w:t xml:space="preserve"> This point is made here because the spreadsheet includes some robustness checks.</w:t>
      </w:r>
      <w:r>
        <w:t xml:space="preserve"> </w:t>
      </w:r>
      <w:r w:rsidR="007E560A">
        <w:t>In</w:t>
      </w:r>
      <w:r w:rsidR="000E439B">
        <w:t xml:space="preserve"> the</w:t>
      </w:r>
      <w:r w:rsidR="0015767B">
        <w:t xml:space="preserve"> discounted dividend model,</w:t>
      </w:r>
      <w:r w:rsidR="000E439B">
        <w:t xml:space="preserve"> </w:t>
      </w:r>
      <w:r w:rsidR="0015767B">
        <w:t xml:space="preserve">deriving </w:t>
      </w:r>
      <w:r w:rsidR="000E439B">
        <w:t xml:space="preserve">terminal value </w:t>
      </w:r>
      <w:r w:rsidR="0015767B">
        <w:t xml:space="preserve">is </w:t>
      </w:r>
      <w:r w:rsidR="000E439B">
        <w:t>computational</w:t>
      </w:r>
      <w:r w:rsidR="007E560A">
        <w:t xml:space="preserve">ly </w:t>
      </w:r>
      <w:r w:rsidR="000E439B">
        <w:t>and conceptual challeng</w:t>
      </w:r>
      <w:r w:rsidR="007E560A">
        <w:t>ing</w:t>
      </w:r>
      <w:r w:rsidR="000E439B">
        <w:t xml:space="preserve">. The computational challenge </w:t>
      </w:r>
      <w:r w:rsidR="007E560A">
        <w:t>is that</w:t>
      </w:r>
      <w:r w:rsidR="000E439B">
        <w:t xml:space="preserve"> we </w:t>
      </w:r>
      <w:r w:rsidR="00774B7C">
        <w:t xml:space="preserve">cannot use the </w:t>
      </w:r>
      <w:r w:rsidR="00FD4CB4">
        <w:t>p</w:t>
      </w:r>
      <w:r w:rsidR="00B93DD0">
        <w:t>erpetual growth</w:t>
      </w:r>
      <w:r w:rsidR="00774B7C">
        <w:t xml:space="preserve"> formula to derive the present value of dividends beyond the terminal year </w:t>
      </w:r>
      <w:r w:rsidR="007E560A">
        <w:t>as</w:t>
      </w:r>
      <w:r w:rsidR="00774B7C">
        <w:t xml:space="preserve"> the dividends </w:t>
      </w:r>
      <w:r w:rsidR="007E560A">
        <w:t>need not</w:t>
      </w:r>
      <w:r w:rsidR="00774B7C">
        <w:t xml:space="preserve"> grow at the perpetual growth rate</w:t>
      </w:r>
      <w:r w:rsidR="00E15BDB">
        <w:t xml:space="preserve"> even if the residual earnings grow at a constant rate</w:t>
      </w:r>
      <w:r w:rsidR="00774B7C">
        <w:t>.</w:t>
      </w:r>
      <w:r w:rsidR="001F24CE">
        <w:t xml:space="preserve"> </w:t>
      </w:r>
      <w:r w:rsidR="000E439B">
        <w:t xml:space="preserve">The conceptual challenge is that the dividend policy beyond </w:t>
      </w:r>
      <w:r w:rsidR="003F5370">
        <w:t>Y2</w:t>
      </w:r>
      <w:r w:rsidR="000E439B">
        <w:t xml:space="preserve"> </w:t>
      </w:r>
      <w:r w:rsidR="007E560A">
        <w:t>is</w:t>
      </w:r>
      <w:r w:rsidR="000E439B">
        <w:t xml:space="preserve"> value irrelevant because the marginal investment is zero NPV.</w:t>
      </w:r>
      <w:r w:rsidR="00E15BDB">
        <w:t xml:space="preserve"> </w:t>
      </w:r>
      <w:r w:rsidR="007E560A">
        <w:t xml:space="preserve">We </w:t>
      </w:r>
      <w:r w:rsidR="000E439B">
        <w:t>exploit th</w:t>
      </w:r>
      <w:r w:rsidR="00E15BDB">
        <w:t xml:space="preserve">e dividend policy irrelevancy </w:t>
      </w:r>
      <w:r w:rsidR="000E439B">
        <w:t xml:space="preserve">to </w:t>
      </w:r>
      <w:r w:rsidR="00254FCB">
        <w:t>overcome</w:t>
      </w:r>
      <w:r w:rsidR="000E439B">
        <w:t xml:space="preserve"> the computational challenge. Because we can pick any arbitrary dividend policy, we set</w:t>
      </w:r>
      <w:r w:rsidR="001F24CE">
        <w:t xml:space="preserve"> the dividends to be equal to earnings minus change in book value so that the growth rate in book value equals the growth rate in residual earnings</w:t>
      </w:r>
      <w:r w:rsidR="000E439B">
        <w:t>. This ensure</w:t>
      </w:r>
      <w:r w:rsidR="00E15BDB">
        <w:t>s</w:t>
      </w:r>
      <w:r w:rsidR="000E439B">
        <w:t xml:space="preserve"> that the </w:t>
      </w:r>
      <w:r w:rsidR="001F24CE">
        <w:t xml:space="preserve">dividends too will grow at the perpetual growth rate. </w:t>
      </w:r>
      <w:r w:rsidR="000E439B">
        <w:t xml:space="preserve">We can then use the </w:t>
      </w:r>
      <w:r w:rsidR="00FD4CB4">
        <w:t>p</w:t>
      </w:r>
      <w:r w:rsidR="00B93DD0">
        <w:t>erpetual growth</w:t>
      </w:r>
      <w:r w:rsidR="000E439B">
        <w:t xml:space="preserve"> formula to derive the present v</w:t>
      </w:r>
      <w:r w:rsidR="004254EC">
        <w:t xml:space="preserve">alue of dividends. </w:t>
      </w:r>
    </w:p>
    <w:p w:rsidR="004254EC" w:rsidRDefault="00E15BDB" w:rsidP="00006915">
      <w:pPr>
        <w:pStyle w:val="BodyText"/>
        <w:numPr>
          <w:ilvl w:val="1"/>
          <w:numId w:val="16"/>
        </w:numPr>
      </w:pPr>
      <w:r>
        <w:t>Dividends</w:t>
      </w:r>
      <w:r w:rsidR="004254EC">
        <w:t xml:space="preserve"> that yield perpetual growth = </w:t>
      </w:r>
      <w:r>
        <w:t>Earnings</w:t>
      </w:r>
      <w:r w:rsidR="00254FCB">
        <w:t xml:space="preserve"> – p</w:t>
      </w:r>
      <w:r w:rsidR="004254EC">
        <w:t xml:space="preserve">erpetual growth rate in </w:t>
      </w:r>
      <w:r>
        <w:t>book value * book value</w:t>
      </w:r>
    </w:p>
    <w:p w:rsidR="006347F8" w:rsidRDefault="000E439B" w:rsidP="004A39F8">
      <w:pPr>
        <w:pStyle w:val="BodyText"/>
        <w:numPr>
          <w:ilvl w:val="0"/>
          <w:numId w:val="16"/>
        </w:numPr>
      </w:pPr>
      <w:r>
        <w:t xml:space="preserve">Terminal value per share = Forthcoming </w:t>
      </w:r>
      <w:r w:rsidR="00E15BDB">
        <w:t>dividends</w:t>
      </w:r>
      <w:r w:rsidR="00227FD3">
        <w:t xml:space="preserve"> </w:t>
      </w:r>
      <w:r>
        <w:t>that yield perpetual growth/(</w:t>
      </w:r>
      <w:r w:rsidR="00254FCB">
        <w:t>r</w:t>
      </w:r>
      <w:r w:rsidR="00254FCB" w:rsidRPr="00254FCB">
        <w:rPr>
          <w:vertAlign w:val="subscript"/>
        </w:rPr>
        <w:t>e</w:t>
      </w:r>
      <w:r>
        <w:t xml:space="preserve"> – </w:t>
      </w:r>
      <w:r w:rsidR="00254FCB">
        <w:t>g)</w:t>
      </w:r>
    </w:p>
    <w:p w:rsidR="00F92C29" w:rsidRDefault="00F92C29" w:rsidP="00006915">
      <w:pPr>
        <w:pStyle w:val="BodyText"/>
        <w:numPr>
          <w:ilvl w:val="0"/>
          <w:numId w:val="16"/>
        </w:numPr>
      </w:pPr>
      <w:r w:rsidRPr="00F92C29">
        <w:t>Capitalized change in dividends</w:t>
      </w:r>
      <w:r>
        <w:t xml:space="preserve"> = Change in dividends/Cost of equity</w:t>
      </w:r>
      <w:r w:rsidR="00D04489">
        <w:t xml:space="preserve"> = (d</w:t>
      </w:r>
      <w:r w:rsidR="00D04489" w:rsidRPr="00D04489">
        <w:rPr>
          <w:vertAlign w:val="subscript"/>
        </w:rPr>
        <w:t>t</w:t>
      </w:r>
      <w:r w:rsidR="00D04489">
        <w:t xml:space="preserve"> – d</w:t>
      </w:r>
      <w:r w:rsidR="00D04489" w:rsidRPr="00D04489">
        <w:rPr>
          <w:vertAlign w:val="subscript"/>
        </w:rPr>
        <w:t>t-1</w:t>
      </w:r>
      <w:r w:rsidR="00D04489">
        <w:t>)/r</w:t>
      </w:r>
      <w:r w:rsidR="00D04489" w:rsidRPr="00D04489">
        <w:rPr>
          <w:vertAlign w:val="subscript"/>
        </w:rPr>
        <w:t>e</w:t>
      </w:r>
    </w:p>
    <w:p w:rsidR="00CF5207" w:rsidRPr="00C3548A" w:rsidRDefault="00CF5207" w:rsidP="00CF5207">
      <w:pPr>
        <w:rPr>
          <w:rStyle w:val="Emphasize"/>
        </w:rPr>
      </w:pPr>
      <w:r w:rsidRPr="00C3548A">
        <w:rPr>
          <w:rStyle w:val="Emphasize"/>
        </w:rPr>
        <w:t xml:space="preserve">End of </w:t>
      </w:r>
      <w:r w:rsidR="00252E14">
        <w:rPr>
          <w:rStyle w:val="Emphasize"/>
        </w:rPr>
        <w:t xml:space="preserve">optional </w:t>
      </w:r>
      <w:r w:rsidRPr="00C3548A">
        <w:rPr>
          <w:rStyle w:val="Emphasize"/>
        </w:rPr>
        <w:t>section that can be skipped.</w:t>
      </w:r>
    </w:p>
    <w:p w:rsidR="006A4CCD" w:rsidRDefault="00A93375" w:rsidP="006A4CCD">
      <w:pPr>
        <w:pStyle w:val="Heading2"/>
      </w:pPr>
      <w:r>
        <w:t>The structure of v</w:t>
      </w:r>
      <w:r w:rsidR="006A4CCD">
        <w:t>aluation models</w:t>
      </w:r>
    </w:p>
    <w:p w:rsidR="00655E6F" w:rsidRPr="00655E6F" w:rsidRDefault="00655E6F" w:rsidP="00606031">
      <w:pPr>
        <w:pStyle w:val="BodyText"/>
      </w:pPr>
      <w:r>
        <w:t>The three valuation models result in the same value</w:t>
      </w:r>
      <w:r w:rsidR="00C11FE5">
        <w:t xml:space="preserve"> as they are </w:t>
      </w:r>
      <w:r>
        <w:t>transformation</w:t>
      </w:r>
      <w:r w:rsidR="00C11FE5">
        <w:t>s</w:t>
      </w:r>
      <w:r>
        <w:t xml:space="preserve"> of DDM.</w:t>
      </w:r>
      <w:r w:rsidR="00606031">
        <w:t xml:space="preserve"> </w:t>
      </w:r>
      <w:r>
        <w:t>For each model, final value is the sum of three components:</w:t>
      </w:r>
    </w:p>
    <w:p w:rsidR="006A4CCD" w:rsidRDefault="006A4CCD" w:rsidP="00606031">
      <w:pPr>
        <w:pStyle w:val="BodyText"/>
        <w:numPr>
          <w:ilvl w:val="0"/>
          <w:numId w:val="14"/>
        </w:numPr>
      </w:pPr>
      <w:r>
        <w:t>Anchor: This is t</w:t>
      </w:r>
      <w:r w:rsidR="00164EA2">
        <w:t xml:space="preserve">he starting point for valuation and is based on </w:t>
      </w:r>
      <w:r w:rsidR="00AA52C0">
        <w:t xml:space="preserve">valuation anchors used by analysts. </w:t>
      </w:r>
    </w:p>
    <w:p w:rsidR="006A4CCD" w:rsidRDefault="006A4CCD" w:rsidP="00606031">
      <w:pPr>
        <w:pStyle w:val="BodyText"/>
        <w:numPr>
          <w:ilvl w:val="0"/>
          <w:numId w:val="14"/>
        </w:numPr>
      </w:pPr>
      <w:r>
        <w:t>Until the explicit forecast horizon: Value based on earnings forecasts until the explicit forecast horizon.</w:t>
      </w:r>
    </w:p>
    <w:p w:rsidR="006A4CCD" w:rsidRDefault="006A4CCD" w:rsidP="00606031">
      <w:pPr>
        <w:pStyle w:val="BodyText"/>
        <w:numPr>
          <w:ilvl w:val="0"/>
          <w:numId w:val="14"/>
        </w:numPr>
      </w:pPr>
      <w:r>
        <w:t>Beyond the explicit forecast horizon: Value based on earnings forecasts beyond the explicit forecast horizon.</w:t>
      </w:r>
    </w:p>
    <w:p w:rsidR="00B85BAE" w:rsidRDefault="00BE6465" w:rsidP="00006915">
      <w:pPr>
        <w:pStyle w:val="BodyText"/>
      </w:pPr>
      <w:r>
        <w:t xml:space="preserve">The models differ in the contribution of an anchor to the total value. </w:t>
      </w:r>
      <w:r w:rsidR="00C84F9B">
        <w:t xml:space="preserve">The higher the contribution of an anchor to the total value, the </w:t>
      </w:r>
      <w:r w:rsidR="006E2615">
        <w:t>more succinct</w:t>
      </w:r>
      <w:r w:rsidR="00FD4CB4">
        <w:t>ly</w:t>
      </w:r>
      <w:r w:rsidR="006E2615">
        <w:t xml:space="preserve"> the </w:t>
      </w:r>
      <w:r w:rsidR="00C84F9B">
        <w:t>anchor captur</w:t>
      </w:r>
      <w:r w:rsidR="00FD4CB4">
        <w:t xml:space="preserve">es </w:t>
      </w:r>
      <w:r w:rsidR="00C84F9B">
        <w:t xml:space="preserve">value relevant information. </w:t>
      </w:r>
      <w:r w:rsidR="00B85BAE">
        <w:t xml:space="preserve">As shown below, the discounted dividends valuation has no anchor and </w:t>
      </w:r>
      <w:r w:rsidR="00252F6A">
        <w:t xml:space="preserve">most of the value is derived from forecasts beyond the terminal year. Thus, it </w:t>
      </w:r>
      <w:r w:rsidR="00B85BAE">
        <w:t>i</w:t>
      </w:r>
      <w:r w:rsidR="00252F6A">
        <w:t xml:space="preserve">s the least </w:t>
      </w:r>
      <w:r w:rsidR="00C84F9B">
        <w:t>succinct</w:t>
      </w:r>
      <w:r w:rsidR="009B71AC">
        <w:t xml:space="preserve"> model</w:t>
      </w:r>
      <w:r w:rsidR="00C84F9B">
        <w:t>. I</w:t>
      </w:r>
      <w:r w:rsidR="00252F6A">
        <w:t xml:space="preserve">n contrast, the </w:t>
      </w:r>
      <w:r w:rsidR="00363AB1">
        <w:t>earnings</w:t>
      </w:r>
      <w:r w:rsidR="008F657A">
        <w:t xml:space="preserve"> growth</w:t>
      </w:r>
      <w:r w:rsidR="00363AB1">
        <w:t xml:space="preserve"> model</w:t>
      </w:r>
      <w:r w:rsidR="00326822">
        <w:t xml:space="preserve"> </w:t>
      </w:r>
      <w:r w:rsidR="006E2615">
        <w:t>captures</w:t>
      </w:r>
      <w:r w:rsidR="00326822">
        <w:t xml:space="preserve"> mo</w:t>
      </w:r>
      <w:r w:rsidR="00DB6A0E">
        <w:t xml:space="preserve">st value </w:t>
      </w:r>
      <w:r w:rsidR="006E2615">
        <w:t xml:space="preserve">in its </w:t>
      </w:r>
      <w:r w:rsidR="00DB6A0E">
        <w:t xml:space="preserve">anchor, and is the most succinct model. </w:t>
      </w:r>
      <w:r w:rsidR="003D5903">
        <w:t>However, sometimes</w:t>
      </w:r>
      <w:r w:rsidR="006E2615">
        <w:t xml:space="preserve"> the </w:t>
      </w:r>
      <w:r w:rsidR="00DB6A0E">
        <w:t xml:space="preserve">book value growth model </w:t>
      </w:r>
      <w:r w:rsidR="006E2615">
        <w:t xml:space="preserve">is </w:t>
      </w:r>
      <w:r w:rsidR="00DB6A0E">
        <w:t>more succinct than the earnings growth model.</w:t>
      </w:r>
    </w:p>
    <w:p w:rsidR="006C0208" w:rsidRDefault="00985FEA" w:rsidP="00A93375">
      <w:pPr>
        <w:pStyle w:val="Heading2"/>
      </w:pPr>
      <w:r>
        <w:t>Dividend discount</w:t>
      </w:r>
      <w:r w:rsidR="00227FD3">
        <w:t xml:space="preserve"> model (DDM)</w:t>
      </w:r>
    </w:p>
    <w:tbl>
      <w:tblPr>
        <w:tblW w:w="0" w:type="auto"/>
        <w:tblLook w:val="01E0" w:firstRow="1" w:lastRow="1" w:firstColumn="1" w:lastColumn="1" w:noHBand="0" w:noVBand="0"/>
      </w:tblPr>
      <w:tblGrid>
        <w:gridCol w:w="588"/>
        <w:gridCol w:w="1139"/>
        <w:gridCol w:w="341"/>
        <w:gridCol w:w="787"/>
        <w:gridCol w:w="341"/>
        <w:gridCol w:w="857"/>
        <w:gridCol w:w="341"/>
        <w:gridCol w:w="857"/>
        <w:gridCol w:w="341"/>
        <w:gridCol w:w="436"/>
      </w:tblGrid>
      <w:tr w:rsidR="00A4551F" w:rsidTr="00A4551F">
        <w:trPr>
          <w:cantSplit/>
        </w:trPr>
        <w:tc>
          <w:tcPr>
            <w:tcW w:w="0" w:type="auto"/>
          </w:tcPr>
          <w:p w:rsidR="00A4551F" w:rsidRPr="00FE337A" w:rsidRDefault="00A4551F" w:rsidP="00A4551F">
            <w:pPr>
              <w:keepNext/>
              <w:jc w:val="center"/>
            </w:pPr>
            <w:r>
              <w:t>P</w:t>
            </w:r>
            <w:r w:rsidRPr="00FE337A">
              <w:rPr>
                <w:vertAlign w:val="subscript"/>
              </w:rPr>
              <w:t>0</w:t>
            </w:r>
            <w:r>
              <w:t xml:space="preserve"> =</w:t>
            </w:r>
          </w:p>
        </w:tc>
        <w:tc>
          <w:tcPr>
            <w:tcW w:w="0" w:type="auto"/>
          </w:tcPr>
          <w:p w:rsidR="00A4551F" w:rsidRDefault="00A4551F" w:rsidP="00A4551F">
            <w:pPr>
              <w:keepNext/>
              <w:jc w:val="center"/>
            </w:pPr>
            <w:r>
              <w:t>0</w:t>
            </w:r>
          </w:p>
        </w:tc>
        <w:tc>
          <w:tcPr>
            <w:tcW w:w="0" w:type="auto"/>
          </w:tcPr>
          <w:p w:rsidR="00A4551F" w:rsidRDefault="00A4551F" w:rsidP="00A4551F">
            <w:pPr>
              <w:keepNext/>
              <w:jc w:val="center"/>
            </w:pPr>
            <w:r>
              <w:t>+</w:t>
            </w:r>
          </w:p>
        </w:tc>
        <w:tc>
          <w:tcPr>
            <w:tcW w:w="0" w:type="auto"/>
            <w:tcBorders>
              <w:bottom w:val="single" w:sz="2" w:space="0" w:color="auto"/>
            </w:tcBorders>
          </w:tcPr>
          <w:p w:rsidR="00A4551F" w:rsidRDefault="00F1650E" w:rsidP="00A4551F">
            <w:pPr>
              <w:keepNext/>
              <w:jc w:val="center"/>
            </w:pPr>
            <w:r>
              <w:t>d</w:t>
            </w:r>
            <w:r w:rsidRPr="00F1650E">
              <w:rPr>
                <w:vertAlign w:val="subscript"/>
              </w:rPr>
              <w:t>1</w:t>
            </w:r>
          </w:p>
        </w:tc>
        <w:tc>
          <w:tcPr>
            <w:tcW w:w="0" w:type="auto"/>
          </w:tcPr>
          <w:p w:rsidR="00A4551F" w:rsidRDefault="00A4551F" w:rsidP="00A4551F">
            <w:pPr>
              <w:keepNext/>
              <w:jc w:val="center"/>
            </w:pPr>
            <w:r>
              <w:t>+</w:t>
            </w:r>
          </w:p>
        </w:tc>
        <w:tc>
          <w:tcPr>
            <w:tcW w:w="0" w:type="auto"/>
            <w:tcBorders>
              <w:bottom w:val="single" w:sz="2" w:space="0" w:color="auto"/>
            </w:tcBorders>
          </w:tcPr>
          <w:p w:rsidR="00A4551F" w:rsidRDefault="00F1650E" w:rsidP="00A4551F">
            <w:pPr>
              <w:keepNext/>
              <w:jc w:val="center"/>
            </w:pPr>
            <w:r>
              <w:t>d</w:t>
            </w:r>
            <w:r>
              <w:rPr>
                <w:vertAlign w:val="subscript"/>
              </w:rPr>
              <w:t>2</w:t>
            </w:r>
          </w:p>
        </w:tc>
        <w:tc>
          <w:tcPr>
            <w:tcW w:w="0" w:type="auto"/>
          </w:tcPr>
          <w:p w:rsidR="00A4551F" w:rsidRDefault="00A4551F" w:rsidP="00A4551F">
            <w:pPr>
              <w:keepNext/>
              <w:jc w:val="center"/>
            </w:pPr>
            <w:r>
              <w:t>+</w:t>
            </w:r>
          </w:p>
        </w:tc>
        <w:tc>
          <w:tcPr>
            <w:tcW w:w="0" w:type="auto"/>
            <w:tcBorders>
              <w:bottom w:val="single" w:sz="2" w:space="0" w:color="auto"/>
            </w:tcBorders>
          </w:tcPr>
          <w:p w:rsidR="00A4551F" w:rsidRDefault="00305F69" w:rsidP="00A4551F">
            <w:pPr>
              <w:keepNext/>
              <w:jc w:val="center"/>
            </w:pPr>
            <w:r>
              <w:t>d</w:t>
            </w:r>
            <w:r w:rsidR="00A4551F">
              <w:rPr>
                <w:vertAlign w:val="subscript"/>
              </w:rPr>
              <w:t>3</w:t>
            </w:r>
          </w:p>
        </w:tc>
        <w:tc>
          <w:tcPr>
            <w:tcW w:w="0" w:type="auto"/>
          </w:tcPr>
          <w:p w:rsidR="00A4551F" w:rsidRDefault="00A4551F" w:rsidP="00A4551F">
            <w:pPr>
              <w:keepNext/>
              <w:jc w:val="center"/>
            </w:pPr>
            <w:r>
              <w:t>+</w:t>
            </w:r>
          </w:p>
        </w:tc>
        <w:tc>
          <w:tcPr>
            <w:tcW w:w="0" w:type="auto"/>
          </w:tcPr>
          <w:p w:rsidR="00A4551F" w:rsidRDefault="00A4551F" w:rsidP="00A4551F">
            <w:pPr>
              <w:keepNext/>
              <w:jc w:val="center"/>
            </w:pPr>
            <w:r>
              <w:t>…</w:t>
            </w:r>
          </w:p>
        </w:tc>
      </w:tr>
      <w:tr w:rsidR="00A4551F" w:rsidTr="00A4551F">
        <w:trPr>
          <w:cantSplit/>
        </w:trPr>
        <w:tc>
          <w:tcPr>
            <w:tcW w:w="0" w:type="auto"/>
          </w:tcPr>
          <w:p w:rsidR="00A4551F" w:rsidRDefault="00A4551F" w:rsidP="00A4551F">
            <w:pPr>
              <w:keepNext/>
              <w:jc w:val="center"/>
            </w:pPr>
          </w:p>
        </w:tc>
        <w:tc>
          <w:tcPr>
            <w:tcW w:w="0" w:type="auto"/>
          </w:tcPr>
          <w:p w:rsidR="00A4551F" w:rsidRDefault="00A4551F" w:rsidP="00A4551F">
            <w:pPr>
              <w:keepNext/>
              <w:jc w:val="center"/>
            </w:pPr>
          </w:p>
        </w:tc>
        <w:tc>
          <w:tcPr>
            <w:tcW w:w="0" w:type="auto"/>
          </w:tcPr>
          <w:p w:rsidR="00A4551F" w:rsidRDefault="00A4551F" w:rsidP="00A4551F">
            <w:pPr>
              <w:keepNext/>
              <w:jc w:val="center"/>
            </w:pPr>
          </w:p>
        </w:tc>
        <w:tc>
          <w:tcPr>
            <w:tcW w:w="0" w:type="auto"/>
            <w:tcBorders>
              <w:top w:val="single" w:sz="2" w:space="0" w:color="auto"/>
            </w:tcBorders>
          </w:tcPr>
          <w:p w:rsidR="00A4551F" w:rsidRDefault="00A4551F" w:rsidP="00A4551F">
            <w:pPr>
              <w:keepNext/>
              <w:jc w:val="center"/>
            </w:pPr>
            <w:r>
              <w:t>(1+ r</w:t>
            </w:r>
            <w:r w:rsidRPr="00FE337A">
              <w:rPr>
                <w:vertAlign w:val="subscript"/>
              </w:rPr>
              <w:t>e</w:t>
            </w:r>
            <w:r>
              <w:t>)</w:t>
            </w:r>
          </w:p>
        </w:tc>
        <w:tc>
          <w:tcPr>
            <w:tcW w:w="0" w:type="auto"/>
          </w:tcPr>
          <w:p w:rsidR="00A4551F" w:rsidRDefault="00A4551F" w:rsidP="00A4551F">
            <w:pPr>
              <w:keepNext/>
              <w:jc w:val="center"/>
            </w:pPr>
          </w:p>
        </w:tc>
        <w:tc>
          <w:tcPr>
            <w:tcW w:w="0" w:type="auto"/>
            <w:tcBorders>
              <w:top w:val="single" w:sz="2" w:space="0" w:color="auto"/>
            </w:tcBorders>
          </w:tcPr>
          <w:p w:rsidR="00A4551F" w:rsidRDefault="00A4551F" w:rsidP="00A4551F">
            <w:pPr>
              <w:keepNext/>
              <w:jc w:val="center"/>
            </w:pPr>
            <w:r>
              <w:t>(1+ r</w:t>
            </w:r>
            <w:r w:rsidRPr="00FE337A">
              <w:rPr>
                <w:vertAlign w:val="subscript"/>
              </w:rPr>
              <w:t>e</w:t>
            </w:r>
            <w:r>
              <w:t>)</w:t>
            </w:r>
            <w:r w:rsidRPr="006C0208">
              <w:rPr>
                <w:vertAlign w:val="superscript"/>
              </w:rPr>
              <w:t>2</w:t>
            </w:r>
          </w:p>
        </w:tc>
        <w:tc>
          <w:tcPr>
            <w:tcW w:w="0" w:type="auto"/>
          </w:tcPr>
          <w:p w:rsidR="00A4551F" w:rsidRDefault="00A4551F" w:rsidP="00A4551F">
            <w:pPr>
              <w:keepNext/>
              <w:jc w:val="center"/>
            </w:pPr>
          </w:p>
        </w:tc>
        <w:tc>
          <w:tcPr>
            <w:tcW w:w="0" w:type="auto"/>
            <w:tcBorders>
              <w:top w:val="single" w:sz="2" w:space="0" w:color="auto"/>
            </w:tcBorders>
          </w:tcPr>
          <w:p w:rsidR="00A4551F" w:rsidRDefault="00A4551F" w:rsidP="00A4551F">
            <w:pPr>
              <w:keepNext/>
              <w:jc w:val="center"/>
            </w:pPr>
            <w:r>
              <w:t>(1+ r</w:t>
            </w:r>
            <w:r w:rsidRPr="00FE337A">
              <w:rPr>
                <w:vertAlign w:val="subscript"/>
              </w:rPr>
              <w:t>e</w:t>
            </w:r>
            <w:r>
              <w:t>)</w:t>
            </w:r>
            <w:r>
              <w:rPr>
                <w:vertAlign w:val="superscript"/>
              </w:rPr>
              <w:t>3</w:t>
            </w:r>
          </w:p>
        </w:tc>
        <w:tc>
          <w:tcPr>
            <w:tcW w:w="0" w:type="auto"/>
          </w:tcPr>
          <w:p w:rsidR="00A4551F" w:rsidRDefault="00A4551F" w:rsidP="00A4551F">
            <w:pPr>
              <w:keepNext/>
              <w:jc w:val="center"/>
            </w:pPr>
          </w:p>
        </w:tc>
        <w:tc>
          <w:tcPr>
            <w:tcW w:w="0" w:type="auto"/>
          </w:tcPr>
          <w:p w:rsidR="00A4551F" w:rsidRDefault="00A4551F" w:rsidP="00A4551F">
            <w:pPr>
              <w:keepNext/>
              <w:jc w:val="center"/>
            </w:pPr>
          </w:p>
        </w:tc>
      </w:tr>
      <w:tr w:rsidR="00E846B7" w:rsidTr="00E46A76">
        <w:trPr>
          <w:cantSplit/>
        </w:trPr>
        <w:tc>
          <w:tcPr>
            <w:tcW w:w="0" w:type="auto"/>
          </w:tcPr>
          <w:p w:rsidR="00E846B7" w:rsidRDefault="00E846B7" w:rsidP="00A4551F">
            <w:pPr>
              <w:jc w:val="center"/>
            </w:pPr>
          </w:p>
        </w:tc>
        <w:tc>
          <w:tcPr>
            <w:tcW w:w="0" w:type="auto"/>
          </w:tcPr>
          <w:p w:rsidR="00E846B7" w:rsidRDefault="00E846B7" w:rsidP="00A4551F">
            <w:pPr>
              <w:jc w:val="center"/>
            </w:pPr>
            <w:r>
              <w:t>No anchor</w:t>
            </w:r>
          </w:p>
        </w:tc>
        <w:tc>
          <w:tcPr>
            <w:tcW w:w="0" w:type="auto"/>
          </w:tcPr>
          <w:p w:rsidR="00E846B7" w:rsidRDefault="00E846B7" w:rsidP="00A4551F">
            <w:pPr>
              <w:jc w:val="center"/>
            </w:pPr>
          </w:p>
        </w:tc>
        <w:tc>
          <w:tcPr>
            <w:tcW w:w="0" w:type="auto"/>
            <w:gridSpan w:val="3"/>
          </w:tcPr>
          <w:p w:rsidR="00E846B7" w:rsidRDefault="00E846B7" w:rsidP="00A4551F">
            <w:pPr>
              <w:jc w:val="center"/>
            </w:pPr>
            <w:r>
              <w:t>Until horizon</w:t>
            </w:r>
          </w:p>
        </w:tc>
        <w:tc>
          <w:tcPr>
            <w:tcW w:w="0" w:type="auto"/>
          </w:tcPr>
          <w:p w:rsidR="00E846B7" w:rsidRDefault="00E846B7" w:rsidP="00A4551F">
            <w:pPr>
              <w:jc w:val="center"/>
            </w:pPr>
          </w:p>
        </w:tc>
        <w:tc>
          <w:tcPr>
            <w:tcW w:w="0" w:type="auto"/>
            <w:gridSpan w:val="3"/>
          </w:tcPr>
          <w:p w:rsidR="00E846B7" w:rsidRDefault="00E846B7" w:rsidP="00A4551F">
            <w:pPr>
              <w:jc w:val="center"/>
            </w:pPr>
            <w:r>
              <w:t>Beyond horizon</w:t>
            </w:r>
          </w:p>
        </w:tc>
      </w:tr>
    </w:tbl>
    <w:p w:rsidR="006C0208" w:rsidRDefault="006C0208" w:rsidP="006C0208"/>
    <w:p w:rsidR="00A85E19" w:rsidRDefault="00A85E19" w:rsidP="006C0208">
      <w:r>
        <w:t>This formula works for any payout policy.</w:t>
      </w:r>
    </w:p>
    <w:p w:rsidR="00A85E19" w:rsidRPr="006C0208" w:rsidRDefault="00A85E19" w:rsidP="006C0208"/>
    <w:p w:rsidR="008C2407" w:rsidRDefault="008C2407" w:rsidP="00006915">
      <w:pPr>
        <w:pStyle w:val="BodyText"/>
        <w:numPr>
          <w:ilvl w:val="0"/>
          <w:numId w:val="16"/>
        </w:numPr>
      </w:pPr>
      <w:r>
        <w:t>Anchor: None</w:t>
      </w:r>
    </w:p>
    <w:p w:rsidR="008C2407" w:rsidRDefault="008C2407" w:rsidP="00006915">
      <w:pPr>
        <w:pStyle w:val="BodyText"/>
        <w:numPr>
          <w:ilvl w:val="0"/>
          <w:numId w:val="16"/>
        </w:numPr>
      </w:pPr>
      <w:r>
        <w:t xml:space="preserve">Value derived from forecasts until the explicit forecast horizon: PV of dividends for </w:t>
      </w:r>
      <w:r w:rsidR="00B93DD0">
        <w:t>Y1 and Y2</w:t>
      </w:r>
      <w:r>
        <w:t>.</w:t>
      </w:r>
    </w:p>
    <w:p w:rsidR="008C2407" w:rsidRDefault="008C2407" w:rsidP="00006915">
      <w:pPr>
        <w:pStyle w:val="BodyText"/>
        <w:numPr>
          <w:ilvl w:val="0"/>
          <w:numId w:val="16"/>
        </w:numPr>
      </w:pPr>
      <w:r>
        <w:t>Value derived from forecasts beyond the explicit forecast horizon: PV of terminal value</w:t>
      </w:r>
    </w:p>
    <w:p w:rsidR="007904E1" w:rsidRDefault="008C2407" w:rsidP="00B93DD0">
      <w:pPr>
        <w:pStyle w:val="BodyText"/>
        <w:numPr>
          <w:ilvl w:val="0"/>
          <w:numId w:val="16"/>
        </w:numPr>
      </w:pPr>
      <w:r>
        <w:t>Total value = Sum of the three components listed above.</w:t>
      </w:r>
      <w:r w:rsidR="00B93DD0">
        <w:t xml:space="preserve"> </w:t>
      </w:r>
      <w:r w:rsidR="007904E1">
        <w:t>The percentage of total value derived from each component is shown next to the component.</w:t>
      </w:r>
    </w:p>
    <w:p w:rsidR="00CC610A" w:rsidRDefault="00CC610A" w:rsidP="00A93375">
      <w:pPr>
        <w:pStyle w:val="Heading2"/>
      </w:pPr>
      <w:r>
        <w:t>Dividend growth model</w:t>
      </w:r>
      <w:r w:rsidR="00A4551F">
        <w:t xml:space="preserve">: Capitalized dividends and </w:t>
      </w:r>
      <w:r w:rsidR="009B71AC">
        <w:t xml:space="preserve">capitalized </w:t>
      </w:r>
      <w:r w:rsidR="00A4551F">
        <w:t>change in dividends</w:t>
      </w:r>
    </w:p>
    <w:tbl>
      <w:tblPr>
        <w:tblW w:w="0" w:type="auto"/>
        <w:tblLook w:val="01E0" w:firstRow="1" w:lastRow="1" w:firstColumn="1" w:lastColumn="1" w:noHBand="0" w:noVBand="0"/>
      </w:tblPr>
      <w:tblGrid>
        <w:gridCol w:w="588"/>
        <w:gridCol w:w="876"/>
        <w:gridCol w:w="341"/>
        <w:gridCol w:w="1396"/>
        <w:gridCol w:w="341"/>
        <w:gridCol w:w="1083"/>
        <w:gridCol w:w="341"/>
        <w:gridCol w:w="436"/>
      </w:tblGrid>
      <w:tr w:rsidR="00AB0B1C" w:rsidTr="00AB0B1C">
        <w:trPr>
          <w:cantSplit/>
        </w:trPr>
        <w:tc>
          <w:tcPr>
            <w:tcW w:w="0" w:type="auto"/>
          </w:tcPr>
          <w:p w:rsidR="00AB0B1C" w:rsidRPr="00FE337A" w:rsidRDefault="00AB0B1C" w:rsidP="00A4551F">
            <w:pPr>
              <w:keepNext/>
              <w:jc w:val="center"/>
            </w:pPr>
            <w:r>
              <w:t>P</w:t>
            </w:r>
            <w:r w:rsidRPr="00FE337A">
              <w:rPr>
                <w:vertAlign w:val="subscript"/>
              </w:rPr>
              <w:t>0</w:t>
            </w:r>
            <w:r>
              <w:t xml:space="preserve"> =</w:t>
            </w:r>
          </w:p>
        </w:tc>
        <w:tc>
          <w:tcPr>
            <w:tcW w:w="0" w:type="auto"/>
            <w:tcBorders>
              <w:bottom w:val="single" w:sz="2" w:space="0" w:color="auto"/>
            </w:tcBorders>
          </w:tcPr>
          <w:p w:rsidR="00AB0B1C" w:rsidRDefault="00F1650E" w:rsidP="00A4551F">
            <w:pPr>
              <w:keepNext/>
              <w:jc w:val="center"/>
            </w:pPr>
            <w:r>
              <w:t>d</w:t>
            </w:r>
            <w:r w:rsidRPr="00F1650E">
              <w:rPr>
                <w:vertAlign w:val="subscript"/>
              </w:rPr>
              <w:t>1</w:t>
            </w:r>
          </w:p>
        </w:tc>
        <w:tc>
          <w:tcPr>
            <w:tcW w:w="0" w:type="auto"/>
          </w:tcPr>
          <w:p w:rsidR="00AB0B1C" w:rsidRDefault="00AB0B1C" w:rsidP="00A4551F">
            <w:pPr>
              <w:keepNext/>
              <w:jc w:val="center"/>
            </w:pPr>
            <w:r>
              <w:t>+</w:t>
            </w:r>
          </w:p>
        </w:tc>
        <w:tc>
          <w:tcPr>
            <w:tcW w:w="0" w:type="auto"/>
            <w:tcBorders>
              <w:bottom w:val="single" w:sz="2" w:space="0" w:color="auto"/>
            </w:tcBorders>
          </w:tcPr>
          <w:p w:rsidR="00AB0B1C" w:rsidRDefault="00F1650E" w:rsidP="00A4551F">
            <w:pPr>
              <w:keepNext/>
              <w:jc w:val="center"/>
            </w:pPr>
            <w:r>
              <w:t>d</w:t>
            </w:r>
            <w:r>
              <w:rPr>
                <w:vertAlign w:val="subscript"/>
              </w:rPr>
              <w:t>2</w:t>
            </w:r>
            <w:r w:rsidR="00AB0B1C">
              <w:t xml:space="preserve">- </w:t>
            </w:r>
            <w:r>
              <w:t>d</w:t>
            </w:r>
            <w:r w:rsidRPr="00F1650E">
              <w:rPr>
                <w:vertAlign w:val="subscript"/>
              </w:rPr>
              <w:t>1</w:t>
            </w:r>
          </w:p>
        </w:tc>
        <w:tc>
          <w:tcPr>
            <w:tcW w:w="0" w:type="auto"/>
          </w:tcPr>
          <w:p w:rsidR="00AB0B1C" w:rsidRDefault="00AB0B1C" w:rsidP="00A4551F">
            <w:pPr>
              <w:keepNext/>
              <w:jc w:val="center"/>
            </w:pPr>
            <w:r>
              <w:t>+</w:t>
            </w:r>
          </w:p>
        </w:tc>
        <w:tc>
          <w:tcPr>
            <w:tcW w:w="0" w:type="auto"/>
            <w:tcBorders>
              <w:bottom w:val="single" w:sz="2" w:space="0" w:color="auto"/>
            </w:tcBorders>
          </w:tcPr>
          <w:p w:rsidR="00AB0B1C" w:rsidRDefault="006C425F" w:rsidP="00A4551F">
            <w:pPr>
              <w:keepNext/>
              <w:jc w:val="center"/>
            </w:pPr>
            <w:r>
              <w:t>d</w:t>
            </w:r>
            <w:r w:rsidR="00AB0B1C">
              <w:rPr>
                <w:vertAlign w:val="subscript"/>
              </w:rPr>
              <w:t>3</w:t>
            </w:r>
            <w:r w:rsidR="00AB0B1C">
              <w:t xml:space="preserve">- </w:t>
            </w:r>
            <w:r w:rsidR="00F1650E">
              <w:t>d</w:t>
            </w:r>
            <w:r w:rsidR="00F1650E">
              <w:rPr>
                <w:vertAlign w:val="subscript"/>
              </w:rPr>
              <w:t>2</w:t>
            </w:r>
          </w:p>
        </w:tc>
        <w:tc>
          <w:tcPr>
            <w:tcW w:w="0" w:type="auto"/>
          </w:tcPr>
          <w:p w:rsidR="00AB0B1C" w:rsidRDefault="00AB0B1C" w:rsidP="00A4551F">
            <w:pPr>
              <w:keepNext/>
              <w:jc w:val="center"/>
            </w:pPr>
            <w:r>
              <w:t>+</w:t>
            </w:r>
          </w:p>
        </w:tc>
        <w:tc>
          <w:tcPr>
            <w:tcW w:w="0" w:type="auto"/>
          </w:tcPr>
          <w:p w:rsidR="00AB0B1C" w:rsidRDefault="00AB0B1C" w:rsidP="00A4551F">
            <w:pPr>
              <w:keepNext/>
              <w:jc w:val="center"/>
            </w:pPr>
            <w:r>
              <w:t>…</w:t>
            </w:r>
          </w:p>
        </w:tc>
      </w:tr>
      <w:tr w:rsidR="00AB0B1C" w:rsidTr="00AB0B1C">
        <w:trPr>
          <w:cantSplit/>
        </w:trPr>
        <w:tc>
          <w:tcPr>
            <w:tcW w:w="0" w:type="auto"/>
          </w:tcPr>
          <w:p w:rsidR="00AB0B1C" w:rsidRDefault="00AB0B1C" w:rsidP="00A4551F">
            <w:pPr>
              <w:keepNext/>
              <w:jc w:val="center"/>
            </w:pPr>
          </w:p>
        </w:tc>
        <w:tc>
          <w:tcPr>
            <w:tcW w:w="0" w:type="auto"/>
            <w:tcBorders>
              <w:top w:val="single" w:sz="2" w:space="0" w:color="auto"/>
            </w:tcBorders>
          </w:tcPr>
          <w:p w:rsidR="00AB0B1C" w:rsidRDefault="00AB0B1C" w:rsidP="00A4551F">
            <w:pPr>
              <w:keepNext/>
              <w:jc w:val="center"/>
            </w:pPr>
            <w:r>
              <w:t>r</w:t>
            </w:r>
            <w:r w:rsidRPr="00FE337A">
              <w:rPr>
                <w:vertAlign w:val="subscript"/>
              </w:rPr>
              <w:t>e</w:t>
            </w:r>
          </w:p>
        </w:tc>
        <w:tc>
          <w:tcPr>
            <w:tcW w:w="0" w:type="auto"/>
          </w:tcPr>
          <w:p w:rsidR="00AB0B1C" w:rsidRDefault="00AB0B1C" w:rsidP="00A4551F">
            <w:pPr>
              <w:keepNext/>
              <w:jc w:val="center"/>
            </w:pPr>
          </w:p>
        </w:tc>
        <w:tc>
          <w:tcPr>
            <w:tcW w:w="0" w:type="auto"/>
            <w:tcBorders>
              <w:top w:val="single" w:sz="2" w:space="0" w:color="auto"/>
            </w:tcBorders>
          </w:tcPr>
          <w:p w:rsidR="00AB0B1C" w:rsidRDefault="00AB0B1C" w:rsidP="00A4551F">
            <w:pPr>
              <w:keepNext/>
              <w:jc w:val="center"/>
            </w:pPr>
            <w:r>
              <w:t>r</w:t>
            </w:r>
            <w:r w:rsidRPr="00FE337A">
              <w:rPr>
                <w:vertAlign w:val="subscript"/>
              </w:rPr>
              <w:t>e</w:t>
            </w:r>
            <w:r>
              <w:t xml:space="preserve"> (1+ r</w:t>
            </w:r>
            <w:r w:rsidRPr="00FE337A">
              <w:rPr>
                <w:vertAlign w:val="subscript"/>
              </w:rPr>
              <w:t>e</w:t>
            </w:r>
            <w:r>
              <w:t>)</w:t>
            </w:r>
          </w:p>
        </w:tc>
        <w:tc>
          <w:tcPr>
            <w:tcW w:w="0" w:type="auto"/>
          </w:tcPr>
          <w:p w:rsidR="00AB0B1C" w:rsidRDefault="00AB0B1C" w:rsidP="00A4551F">
            <w:pPr>
              <w:keepNext/>
              <w:jc w:val="center"/>
            </w:pPr>
          </w:p>
        </w:tc>
        <w:tc>
          <w:tcPr>
            <w:tcW w:w="0" w:type="auto"/>
            <w:tcBorders>
              <w:top w:val="single" w:sz="2" w:space="0" w:color="auto"/>
            </w:tcBorders>
          </w:tcPr>
          <w:p w:rsidR="00AB0B1C" w:rsidRDefault="00AB0B1C" w:rsidP="00A4551F">
            <w:pPr>
              <w:keepNext/>
              <w:jc w:val="center"/>
            </w:pPr>
            <w:r>
              <w:t>r</w:t>
            </w:r>
            <w:r w:rsidRPr="00FE337A">
              <w:rPr>
                <w:vertAlign w:val="subscript"/>
              </w:rPr>
              <w:t>e</w:t>
            </w:r>
            <w:r>
              <w:t xml:space="preserve"> (1+ r</w:t>
            </w:r>
            <w:r w:rsidRPr="00FE337A">
              <w:rPr>
                <w:vertAlign w:val="subscript"/>
              </w:rPr>
              <w:t>e</w:t>
            </w:r>
            <w:r>
              <w:t>)</w:t>
            </w:r>
            <w:r w:rsidRPr="00AB0B1C">
              <w:rPr>
                <w:vertAlign w:val="superscript"/>
              </w:rPr>
              <w:t xml:space="preserve"> 2</w:t>
            </w:r>
          </w:p>
        </w:tc>
        <w:tc>
          <w:tcPr>
            <w:tcW w:w="0" w:type="auto"/>
          </w:tcPr>
          <w:p w:rsidR="00AB0B1C" w:rsidRDefault="00AB0B1C" w:rsidP="00A4551F">
            <w:pPr>
              <w:keepNext/>
              <w:jc w:val="center"/>
            </w:pPr>
          </w:p>
        </w:tc>
        <w:tc>
          <w:tcPr>
            <w:tcW w:w="0" w:type="auto"/>
          </w:tcPr>
          <w:p w:rsidR="00AB0B1C" w:rsidRDefault="00AB0B1C" w:rsidP="00A4551F">
            <w:pPr>
              <w:keepNext/>
              <w:jc w:val="center"/>
            </w:pPr>
          </w:p>
        </w:tc>
      </w:tr>
      <w:tr w:rsidR="00386397" w:rsidTr="00247F9F">
        <w:trPr>
          <w:cantSplit/>
        </w:trPr>
        <w:tc>
          <w:tcPr>
            <w:tcW w:w="0" w:type="auto"/>
          </w:tcPr>
          <w:p w:rsidR="00386397" w:rsidRDefault="00386397" w:rsidP="00A4551F">
            <w:pPr>
              <w:jc w:val="center"/>
            </w:pPr>
          </w:p>
        </w:tc>
        <w:tc>
          <w:tcPr>
            <w:tcW w:w="0" w:type="auto"/>
          </w:tcPr>
          <w:p w:rsidR="00386397" w:rsidRDefault="00386397" w:rsidP="00A4551F">
            <w:pPr>
              <w:jc w:val="center"/>
            </w:pPr>
            <w:r>
              <w:t>Anchor</w:t>
            </w:r>
          </w:p>
        </w:tc>
        <w:tc>
          <w:tcPr>
            <w:tcW w:w="0" w:type="auto"/>
          </w:tcPr>
          <w:p w:rsidR="00386397" w:rsidRDefault="00386397" w:rsidP="00A4551F">
            <w:pPr>
              <w:jc w:val="center"/>
            </w:pPr>
          </w:p>
        </w:tc>
        <w:tc>
          <w:tcPr>
            <w:tcW w:w="0" w:type="auto"/>
          </w:tcPr>
          <w:p w:rsidR="00386397" w:rsidRDefault="00386397" w:rsidP="00A4551F">
            <w:pPr>
              <w:jc w:val="center"/>
            </w:pPr>
            <w:r>
              <w:t>Until horizon</w:t>
            </w:r>
          </w:p>
        </w:tc>
        <w:tc>
          <w:tcPr>
            <w:tcW w:w="0" w:type="auto"/>
          </w:tcPr>
          <w:p w:rsidR="00386397" w:rsidRDefault="00386397" w:rsidP="00A4551F">
            <w:pPr>
              <w:jc w:val="center"/>
            </w:pPr>
          </w:p>
        </w:tc>
        <w:tc>
          <w:tcPr>
            <w:tcW w:w="0" w:type="auto"/>
            <w:gridSpan w:val="3"/>
          </w:tcPr>
          <w:p w:rsidR="00386397" w:rsidRDefault="00386397" w:rsidP="00A4551F">
            <w:pPr>
              <w:jc w:val="center"/>
            </w:pPr>
            <w:r>
              <w:t>Beyond horizon</w:t>
            </w:r>
          </w:p>
        </w:tc>
      </w:tr>
    </w:tbl>
    <w:p w:rsidR="00AB0B1C" w:rsidRPr="00AB0B1C" w:rsidRDefault="00AB0B1C" w:rsidP="00AB0B1C"/>
    <w:p w:rsidR="00CC610A" w:rsidRDefault="00CC610A" w:rsidP="00006915">
      <w:pPr>
        <w:pStyle w:val="BodyText"/>
        <w:numPr>
          <w:ilvl w:val="0"/>
          <w:numId w:val="16"/>
        </w:numPr>
      </w:pPr>
      <w:r>
        <w:t>Anchor: Capitalized forthcoming dividends = Forthcoming dividends/cost of equity</w:t>
      </w:r>
      <w:r w:rsidR="006C425F">
        <w:t xml:space="preserve"> = d</w:t>
      </w:r>
      <w:r w:rsidR="006C425F" w:rsidRPr="006C425F">
        <w:rPr>
          <w:vertAlign w:val="subscript"/>
        </w:rPr>
        <w:t>1</w:t>
      </w:r>
      <w:r w:rsidR="006C425F">
        <w:t>/r</w:t>
      </w:r>
      <w:r w:rsidR="006C425F" w:rsidRPr="006C425F">
        <w:rPr>
          <w:vertAlign w:val="subscript"/>
        </w:rPr>
        <w:t>e</w:t>
      </w:r>
    </w:p>
    <w:p w:rsidR="00CC610A" w:rsidRDefault="00CC610A" w:rsidP="00006915">
      <w:pPr>
        <w:pStyle w:val="BodyText"/>
        <w:numPr>
          <w:ilvl w:val="0"/>
          <w:numId w:val="16"/>
        </w:numPr>
      </w:pPr>
      <w:r>
        <w:t xml:space="preserve">Value derived from forecasts until the explicit forecast horizon: PV of change in dividends </w:t>
      </w:r>
      <w:r w:rsidR="00B93DD0">
        <w:t>from</w:t>
      </w:r>
      <w:r>
        <w:t xml:space="preserve"> </w:t>
      </w:r>
      <w:r w:rsidR="00B93DD0">
        <w:t>Y1 to Y2.</w:t>
      </w:r>
    </w:p>
    <w:p w:rsidR="00CC610A" w:rsidRDefault="00CC610A" w:rsidP="00006915">
      <w:pPr>
        <w:pStyle w:val="BodyText"/>
        <w:numPr>
          <w:ilvl w:val="0"/>
          <w:numId w:val="16"/>
        </w:numPr>
      </w:pPr>
      <w:r>
        <w:t xml:space="preserve">Value derived from forecasts beyond the explicit forecast horizon: PV of change in dividends beyond </w:t>
      </w:r>
      <w:r w:rsidR="00B93DD0">
        <w:t>Y2</w:t>
      </w:r>
      <w:r>
        <w:t xml:space="preserve">. [This is a plug. </w:t>
      </w:r>
      <w:r w:rsidR="00B93DD0">
        <w:t>One cannot</w:t>
      </w:r>
      <w:r>
        <w:t xml:space="preserve"> use a perpetuity formula because the dividends need not reach steady growth.]</w:t>
      </w:r>
    </w:p>
    <w:p w:rsidR="00CC610A" w:rsidRDefault="00CC610A" w:rsidP="00006915">
      <w:pPr>
        <w:pStyle w:val="BodyText"/>
        <w:numPr>
          <w:ilvl w:val="0"/>
          <w:numId w:val="16"/>
        </w:numPr>
      </w:pPr>
      <w:r>
        <w:t>Total value = Sum of the three components listed above.</w:t>
      </w:r>
      <w:r w:rsidR="00B93DD0">
        <w:t xml:space="preserve"> </w:t>
      </w:r>
      <w:r>
        <w:t>The percentage of total value derived from each component is shown next to the component.</w:t>
      </w:r>
    </w:p>
    <w:p w:rsidR="007904E1" w:rsidRDefault="00251DE5" w:rsidP="00A93375">
      <w:pPr>
        <w:pStyle w:val="Heading2"/>
      </w:pPr>
      <w:r>
        <w:t>Book value growth model</w:t>
      </w:r>
      <w:r w:rsidR="00985FEA">
        <w:t xml:space="preserve"> [aka</w:t>
      </w:r>
      <w:r w:rsidR="00A4551F">
        <w:t xml:space="preserve"> </w:t>
      </w:r>
      <w:r w:rsidR="007904E1">
        <w:t>Residual income valuation model (RIV)</w:t>
      </w:r>
      <w:r w:rsidR="00985FEA">
        <w:t>]</w:t>
      </w:r>
    </w:p>
    <w:tbl>
      <w:tblPr>
        <w:tblW w:w="0" w:type="auto"/>
        <w:tblLook w:val="01E0" w:firstRow="1" w:lastRow="1" w:firstColumn="1" w:lastColumn="1" w:noHBand="0" w:noVBand="0"/>
      </w:tblPr>
      <w:tblGrid>
        <w:gridCol w:w="588"/>
        <w:gridCol w:w="876"/>
        <w:gridCol w:w="341"/>
        <w:gridCol w:w="1947"/>
        <w:gridCol w:w="341"/>
        <w:gridCol w:w="1927"/>
        <w:gridCol w:w="341"/>
        <w:gridCol w:w="1927"/>
      </w:tblGrid>
      <w:tr w:rsidR="007519EA" w:rsidTr="004D5A55">
        <w:trPr>
          <w:cantSplit/>
        </w:trPr>
        <w:tc>
          <w:tcPr>
            <w:tcW w:w="0" w:type="auto"/>
          </w:tcPr>
          <w:p w:rsidR="007519EA" w:rsidRPr="00FE337A" w:rsidRDefault="007519EA" w:rsidP="00A4551F">
            <w:pPr>
              <w:keepNext/>
              <w:jc w:val="center"/>
            </w:pPr>
            <w:r>
              <w:t>P</w:t>
            </w:r>
            <w:r w:rsidRPr="00FE337A">
              <w:rPr>
                <w:vertAlign w:val="subscript"/>
              </w:rPr>
              <w:t>0</w:t>
            </w:r>
            <w:r>
              <w:t xml:space="preserve"> =</w:t>
            </w:r>
          </w:p>
        </w:tc>
        <w:tc>
          <w:tcPr>
            <w:tcW w:w="0" w:type="auto"/>
          </w:tcPr>
          <w:p w:rsidR="007519EA" w:rsidRDefault="007519EA" w:rsidP="00A4551F">
            <w:pPr>
              <w:keepNext/>
              <w:jc w:val="center"/>
            </w:pPr>
            <w:r>
              <w:t>b</w:t>
            </w:r>
            <w:r w:rsidRPr="006C0208">
              <w:rPr>
                <w:vertAlign w:val="subscript"/>
              </w:rPr>
              <w:t>0</w:t>
            </w:r>
          </w:p>
        </w:tc>
        <w:tc>
          <w:tcPr>
            <w:tcW w:w="0" w:type="auto"/>
          </w:tcPr>
          <w:p w:rsidR="007519EA" w:rsidRDefault="007519EA" w:rsidP="00A4551F">
            <w:pPr>
              <w:keepNext/>
              <w:jc w:val="center"/>
            </w:pPr>
            <w:r>
              <w:t>+</w:t>
            </w:r>
          </w:p>
        </w:tc>
        <w:tc>
          <w:tcPr>
            <w:tcW w:w="0" w:type="auto"/>
            <w:tcBorders>
              <w:bottom w:val="single" w:sz="2" w:space="0" w:color="auto"/>
            </w:tcBorders>
          </w:tcPr>
          <w:p w:rsidR="007519EA" w:rsidRDefault="007519EA" w:rsidP="00A4551F">
            <w:pPr>
              <w:keepNext/>
              <w:jc w:val="center"/>
            </w:pPr>
            <w:r>
              <w:t>b</w:t>
            </w:r>
            <w:r w:rsidRPr="00251DE5">
              <w:rPr>
                <w:vertAlign w:val="subscript"/>
              </w:rPr>
              <w:t>1</w:t>
            </w:r>
            <w:r>
              <w:t xml:space="preserve"> +</w:t>
            </w:r>
            <w:r w:rsidR="003269F5">
              <w:t xml:space="preserve"> </w:t>
            </w:r>
            <w:r>
              <w:t>d</w:t>
            </w:r>
            <w:r w:rsidRPr="00251DE5">
              <w:rPr>
                <w:vertAlign w:val="subscript"/>
              </w:rPr>
              <w:t>1</w:t>
            </w:r>
            <w:r>
              <w:t xml:space="preserve"> – (1+ r</w:t>
            </w:r>
            <w:r w:rsidRPr="004550F3">
              <w:rPr>
                <w:vertAlign w:val="subscript"/>
              </w:rPr>
              <w:t>e</w:t>
            </w:r>
            <w:r>
              <w:t>)* b</w:t>
            </w:r>
            <w:r w:rsidRPr="006C0208">
              <w:rPr>
                <w:vertAlign w:val="subscript"/>
              </w:rPr>
              <w:t>0</w:t>
            </w:r>
            <w:r w:rsidR="003269F5">
              <w:t xml:space="preserve"> </w:t>
            </w:r>
          </w:p>
        </w:tc>
        <w:tc>
          <w:tcPr>
            <w:tcW w:w="0" w:type="auto"/>
          </w:tcPr>
          <w:p w:rsidR="007519EA" w:rsidRDefault="007519EA" w:rsidP="00A4551F">
            <w:pPr>
              <w:keepNext/>
              <w:jc w:val="center"/>
            </w:pPr>
            <w:r>
              <w:t>+</w:t>
            </w:r>
          </w:p>
        </w:tc>
        <w:tc>
          <w:tcPr>
            <w:tcW w:w="0" w:type="auto"/>
            <w:tcBorders>
              <w:bottom w:val="single" w:sz="2" w:space="0" w:color="auto"/>
            </w:tcBorders>
          </w:tcPr>
          <w:p w:rsidR="007519EA" w:rsidRDefault="007519EA" w:rsidP="00A4551F">
            <w:pPr>
              <w:keepNext/>
              <w:jc w:val="center"/>
            </w:pPr>
            <w:r>
              <w:t>b</w:t>
            </w:r>
            <w:r>
              <w:rPr>
                <w:vertAlign w:val="subscript"/>
              </w:rPr>
              <w:t>2</w:t>
            </w:r>
            <w:r>
              <w:t xml:space="preserve"> +</w:t>
            </w:r>
            <w:r w:rsidR="003269F5">
              <w:t xml:space="preserve"> </w:t>
            </w:r>
            <w:r>
              <w:t>d</w:t>
            </w:r>
            <w:r>
              <w:rPr>
                <w:vertAlign w:val="subscript"/>
              </w:rPr>
              <w:t xml:space="preserve">2 </w:t>
            </w:r>
            <w:r>
              <w:t>– (1+ r</w:t>
            </w:r>
            <w:r w:rsidRPr="004550F3">
              <w:rPr>
                <w:vertAlign w:val="subscript"/>
              </w:rPr>
              <w:t>e</w:t>
            </w:r>
            <w:r>
              <w:t>)* b</w:t>
            </w:r>
            <w:r>
              <w:rPr>
                <w:vertAlign w:val="subscript"/>
              </w:rPr>
              <w:t>1</w:t>
            </w:r>
          </w:p>
        </w:tc>
        <w:tc>
          <w:tcPr>
            <w:tcW w:w="0" w:type="auto"/>
          </w:tcPr>
          <w:p w:rsidR="007519EA" w:rsidRDefault="007519EA" w:rsidP="00A4551F">
            <w:pPr>
              <w:keepNext/>
              <w:jc w:val="center"/>
            </w:pPr>
            <w:r>
              <w:t>+</w:t>
            </w:r>
          </w:p>
        </w:tc>
        <w:tc>
          <w:tcPr>
            <w:tcW w:w="0" w:type="auto"/>
            <w:tcBorders>
              <w:bottom w:val="single" w:sz="2" w:space="0" w:color="auto"/>
            </w:tcBorders>
          </w:tcPr>
          <w:p w:rsidR="007519EA" w:rsidRDefault="007519EA" w:rsidP="00A4551F">
            <w:pPr>
              <w:keepNext/>
              <w:jc w:val="center"/>
            </w:pPr>
            <w:r>
              <w:t>b</w:t>
            </w:r>
            <w:r>
              <w:rPr>
                <w:vertAlign w:val="subscript"/>
              </w:rPr>
              <w:t>3</w:t>
            </w:r>
            <w:r>
              <w:t xml:space="preserve"> +</w:t>
            </w:r>
            <w:r w:rsidR="003269F5">
              <w:t xml:space="preserve"> </w:t>
            </w:r>
            <w:r>
              <w:t>d</w:t>
            </w:r>
            <w:r>
              <w:rPr>
                <w:vertAlign w:val="subscript"/>
              </w:rPr>
              <w:t xml:space="preserve">2 </w:t>
            </w:r>
            <w:r>
              <w:t>– (1+ r</w:t>
            </w:r>
            <w:r w:rsidRPr="004550F3">
              <w:rPr>
                <w:vertAlign w:val="subscript"/>
              </w:rPr>
              <w:t>e</w:t>
            </w:r>
            <w:r>
              <w:t>)* b</w:t>
            </w:r>
            <w:r>
              <w:rPr>
                <w:vertAlign w:val="subscript"/>
              </w:rPr>
              <w:t>2</w:t>
            </w:r>
          </w:p>
        </w:tc>
      </w:tr>
      <w:tr w:rsidR="007519EA" w:rsidTr="004D5A55">
        <w:trPr>
          <w:cantSplit/>
        </w:trPr>
        <w:tc>
          <w:tcPr>
            <w:tcW w:w="0" w:type="auto"/>
          </w:tcPr>
          <w:p w:rsidR="007519EA" w:rsidRDefault="007519EA" w:rsidP="00A4551F">
            <w:pPr>
              <w:keepNext/>
              <w:jc w:val="center"/>
            </w:pPr>
          </w:p>
        </w:tc>
        <w:tc>
          <w:tcPr>
            <w:tcW w:w="0" w:type="auto"/>
          </w:tcPr>
          <w:p w:rsidR="007519EA" w:rsidRDefault="007519EA" w:rsidP="00A4551F">
            <w:pPr>
              <w:keepNext/>
              <w:jc w:val="center"/>
            </w:pPr>
          </w:p>
        </w:tc>
        <w:tc>
          <w:tcPr>
            <w:tcW w:w="0" w:type="auto"/>
          </w:tcPr>
          <w:p w:rsidR="007519EA" w:rsidRDefault="007519EA" w:rsidP="00A4551F">
            <w:pPr>
              <w:keepNext/>
              <w:jc w:val="center"/>
            </w:pPr>
          </w:p>
        </w:tc>
        <w:tc>
          <w:tcPr>
            <w:tcW w:w="0" w:type="auto"/>
            <w:tcBorders>
              <w:top w:val="single" w:sz="2" w:space="0" w:color="auto"/>
            </w:tcBorders>
          </w:tcPr>
          <w:p w:rsidR="007519EA" w:rsidRDefault="007519EA" w:rsidP="00A4551F">
            <w:pPr>
              <w:keepNext/>
              <w:jc w:val="center"/>
            </w:pPr>
            <w:r>
              <w:t>(1+ r</w:t>
            </w:r>
            <w:r w:rsidRPr="00FE337A">
              <w:rPr>
                <w:vertAlign w:val="subscript"/>
              </w:rPr>
              <w:t>e</w:t>
            </w:r>
            <w:r>
              <w:t>)</w:t>
            </w:r>
          </w:p>
        </w:tc>
        <w:tc>
          <w:tcPr>
            <w:tcW w:w="0" w:type="auto"/>
          </w:tcPr>
          <w:p w:rsidR="007519EA" w:rsidRDefault="007519EA" w:rsidP="00A4551F">
            <w:pPr>
              <w:keepNext/>
              <w:jc w:val="center"/>
            </w:pPr>
          </w:p>
        </w:tc>
        <w:tc>
          <w:tcPr>
            <w:tcW w:w="0" w:type="auto"/>
            <w:tcBorders>
              <w:top w:val="single" w:sz="2" w:space="0" w:color="auto"/>
            </w:tcBorders>
          </w:tcPr>
          <w:p w:rsidR="007519EA" w:rsidRDefault="007519EA" w:rsidP="00A4551F">
            <w:pPr>
              <w:keepNext/>
              <w:jc w:val="center"/>
            </w:pPr>
            <w:r>
              <w:t>(1+ r</w:t>
            </w:r>
            <w:r w:rsidRPr="00FE337A">
              <w:rPr>
                <w:vertAlign w:val="subscript"/>
              </w:rPr>
              <w:t>e</w:t>
            </w:r>
            <w:r>
              <w:t>)</w:t>
            </w:r>
            <w:r w:rsidRPr="006C0208">
              <w:rPr>
                <w:vertAlign w:val="superscript"/>
              </w:rPr>
              <w:t>2</w:t>
            </w:r>
          </w:p>
        </w:tc>
        <w:tc>
          <w:tcPr>
            <w:tcW w:w="0" w:type="auto"/>
          </w:tcPr>
          <w:p w:rsidR="007519EA" w:rsidRDefault="007519EA" w:rsidP="00A4551F">
            <w:pPr>
              <w:keepNext/>
              <w:jc w:val="center"/>
            </w:pPr>
          </w:p>
        </w:tc>
        <w:tc>
          <w:tcPr>
            <w:tcW w:w="0" w:type="auto"/>
            <w:tcBorders>
              <w:top w:val="single" w:sz="2" w:space="0" w:color="auto"/>
            </w:tcBorders>
          </w:tcPr>
          <w:p w:rsidR="007519EA" w:rsidRDefault="007519EA" w:rsidP="00A4551F">
            <w:pPr>
              <w:keepNext/>
              <w:jc w:val="center"/>
            </w:pPr>
            <w:r>
              <w:t>(r</w:t>
            </w:r>
            <w:r w:rsidRPr="00FE337A">
              <w:rPr>
                <w:vertAlign w:val="subscript"/>
              </w:rPr>
              <w:t>e</w:t>
            </w:r>
            <w:r>
              <w:t xml:space="preserve"> -g) (1+ r</w:t>
            </w:r>
            <w:r w:rsidRPr="00FE337A">
              <w:rPr>
                <w:vertAlign w:val="subscript"/>
              </w:rPr>
              <w:t>e</w:t>
            </w:r>
            <w:r>
              <w:t>)</w:t>
            </w:r>
            <w:r w:rsidRPr="006C0208">
              <w:rPr>
                <w:vertAlign w:val="superscript"/>
              </w:rPr>
              <w:t>2</w:t>
            </w:r>
          </w:p>
        </w:tc>
      </w:tr>
      <w:tr w:rsidR="007519EA" w:rsidTr="004D5A55">
        <w:trPr>
          <w:cantSplit/>
        </w:trPr>
        <w:tc>
          <w:tcPr>
            <w:tcW w:w="0" w:type="auto"/>
          </w:tcPr>
          <w:p w:rsidR="007519EA" w:rsidRDefault="007519EA" w:rsidP="00A4551F">
            <w:pPr>
              <w:jc w:val="center"/>
            </w:pPr>
          </w:p>
        </w:tc>
        <w:tc>
          <w:tcPr>
            <w:tcW w:w="0" w:type="auto"/>
          </w:tcPr>
          <w:p w:rsidR="007519EA" w:rsidRDefault="007519EA" w:rsidP="00A4551F">
            <w:pPr>
              <w:jc w:val="center"/>
            </w:pPr>
            <w:r>
              <w:t>Anchor</w:t>
            </w:r>
          </w:p>
        </w:tc>
        <w:tc>
          <w:tcPr>
            <w:tcW w:w="0" w:type="auto"/>
          </w:tcPr>
          <w:p w:rsidR="007519EA" w:rsidRDefault="007519EA" w:rsidP="00A4551F">
            <w:pPr>
              <w:jc w:val="center"/>
            </w:pPr>
          </w:p>
        </w:tc>
        <w:tc>
          <w:tcPr>
            <w:tcW w:w="0" w:type="auto"/>
            <w:gridSpan w:val="3"/>
          </w:tcPr>
          <w:p w:rsidR="007519EA" w:rsidRDefault="007519EA" w:rsidP="00A4551F">
            <w:pPr>
              <w:jc w:val="center"/>
            </w:pPr>
            <w:r>
              <w:t>Until horizon</w:t>
            </w:r>
          </w:p>
        </w:tc>
        <w:tc>
          <w:tcPr>
            <w:tcW w:w="0" w:type="auto"/>
          </w:tcPr>
          <w:p w:rsidR="007519EA" w:rsidRDefault="007519EA" w:rsidP="00A4551F">
            <w:pPr>
              <w:jc w:val="center"/>
            </w:pPr>
          </w:p>
        </w:tc>
        <w:tc>
          <w:tcPr>
            <w:tcW w:w="0" w:type="auto"/>
          </w:tcPr>
          <w:p w:rsidR="007519EA" w:rsidRDefault="007519EA" w:rsidP="00A4551F">
            <w:pPr>
              <w:jc w:val="center"/>
            </w:pPr>
            <w:r>
              <w:t>Beyond horizon</w:t>
            </w:r>
          </w:p>
        </w:tc>
      </w:tr>
    </w:tbl>
    <w:p w:rsidR="007519EA" w:rsidRDefault="007519EA" w:rsidP="007519EA"/>
    <w:p w:rsidR="007519EA" w:rsidRPr="009119CE" w:rsidRDefault="009119CE" w:rsidP="007519EA">
      <w:r>
        <w:t xml:space="preserve">Substituting </w:t>
      </w:r>
      <w:r w:rsidR="007519EA">
        <w:t>b</w:t>
      </w:r>
      <w:r w:rsidR="007519EA" w:rsidRPr="007519EA">
        <w:rPr>
          <w:vertAlign w:val="subscript"/>
        </w:rPr>
        <w:t>t+1</w:t>
      </w:r>
      <w:r w:rsidR="007519EA">
        <w:t xml:space="preserve"> = b</w:t>
      </w:r>
      <w:r w:rsidR="007519EA" w:rsidRPr="007519EA">
        <w:rPr>
          <w:vertAlign w:val="subscript"/>
        </w:rPr>
        <w:t>t</w:t>
      </w:r>
      <w:r w:rsidR="007519EA">
        <w:t xml:space="preserve"> + e</w:t>
      </w:r>
      <w:r w:rsidR="007519EA" w:rsidRPr="007519EA">
        <w:rPr>
          <w:vertAlign w:val="subscript"/>
        </w:rPr>
        <w:t>t</w:t>
      </w:r>
      <w:r w:rsidR="0055430E">
        <w:rPr>
          <w:vertAlign w:val="subscript"/>
        </w:rPr>
        <w:t>+1</w:t>
      </w:r>
      <w:r w:rsidR="007519EA">
        <w:t xml:space="preserve"> - d</w:t>
      </w:r>
      <w:r w:rsidR="007519EA" w:rsidRPr="007519EA">
        <w:rPr>
          <w:vertAlign w:val="subscript"/>
        </w:rPr>
        <w:t>t</w:t>
      </w:r>
      <w:r w:rsidR="0055430E">
        <w:rPr>
          <w:vertAlign w:val="subscript"/>
        </w:rPr>
        <w:t>+1</w:t>
      </w:r>
      <w:r>
        <w:t>, we get:</w:t>
      </w:r>
    </w:p>
    <w:tbl>
      <w:tblPr>
        <w:tblW w:w="0" w:type="auto"/>
        <w:tblLook w:val="01E0" w:firstRow="1" w:lastRow="1" w:firstColumn="1" w:lastColumn="1" w:noHBand="0" w:noVBand="0"/>
      </w:tblPr>
      <w:tblGrid>
        <w:gridCol w:w="588"/>
        <w:gridCol w:w="876"/>
        <w:gridCol w:w="341"/>
        <w:gridCol w:w="955"/>
        <w:gridCol w:w="341"/>
        <w:gridCol w:w="955"/>
        <w:gridCol w:w="341"/>
        <w:gridCol w:w="1628"/>
      </w:tblGrid>
      <w:tr w:rsidR="006C0208" w:rsidTr="001B1B34">
        <w:trPr>
          <w:cantSplit/>
        </w:trPr>
        <w:tc>
          <w:tcPr>
            <w:tcW w:w="0" w:type="auto"/>
          </w:tcPr>
          <w:p w:rsidR="006C0208" w:rsidRPr="00FE337A" w:rsidRDefault="006C0208" w:rsidP="00A4551F">
            <w:pPr>
              <w:keepNext/>
              <w:jc w:val="center"/>
            </w:pPr>
            <w:r>
              <w:t>P</w:t>
            </w:r>
            <w:r w:rsidRPr="00FE337A">
              <w:rPr>
                <w:vertAlign w:val="subscript"/>
              </w:rPr>
              <w:t>0</w:t>
            </w:r>
            <w:r>
              <w:t xml:space="preserve"> =</w:t>
            </w:r>
          </w:p>
        </w:tc>
        <w:tc>
          <w:tcPr>
            <w:tcW w:w="0" w:type="auto"/>
          </w:tcPr>
          <w:p w:rsidR="006C0208" w:rsidRDefault="006C0208" w:rsidP="00A4551F">
            <w:pPr>
              <w:keepNext/>
              <w:jc w:val="center"/>
            </w:pPr>
            <w:r>
              <w:t>b</w:t>
            </w:r>
            <w:r w:rsidRPr="006C0208">
              <w:rPr>
                <w:vertAlign w:val="subscript"/>
              </w:rPr>
              <w:t>0</w:t>
            </w:r>
          </w:p>
        </w:tc>
        <w:tc>
          <w:tcPr>
            <w:tcW w:w="0" w:type="auto"/>
          </w:tcPr>
          <w:p w:rsidR="006C0208" w:rsidRDefault="006C0208" w:rsidP="00A4551F">
            <w:pPr>
              <w:keepNext/>
              <w:jc w:val="center"/>
            </w:pPr>
            <w:r>
              <w:t>+</w:t>
            </w:r>
          </w:p>
        </w:tc>
        <w:tc>
          <w:tcPr>
            <w:tcW w:w="0" w:type="auto"/>
            <w:tcBorders>
              <w:bottom w:val="single" w:sz="2" w:space="0" w:color="auto"/>
            </w:tcBorders>
          </w:tcPr>
          <w:p w:rsidR="006C0208" w:rsidRDefault="00F1650E" w:rsidP="00A4551F">
            <w:pPr>
              <w:keepNext/>
              <w:jc w:val="center"/>
            </w:pPr>
            <w:r>
              <w:t>e</w:t>
            </w:r>
            <w:r w:rsidR="006C0208" w:rsidRPr="006C0208">
              <w:rPr>
                <w:vertAlign w:val="subscript"/>
              </w:rPr>
              <w:t>1</w:t>
            </w:r>
            <w:r w:rsidR="006C0208">
              <w:rPr>
                <w:vertAlign w:val="subscript"/>
              </w:rPr>
              <w:t xml:space="preserve"> </w:t>
            </w:r>
            <w:r w:rsidR="006C0208">
              <w:t>– r</w:t>
            </w:r>
            <w:r w:rsidR="006C0208" w:rsidRPr="004550F3">
              <w:rPr>
                <w:vertAlign w:val="subscript"/>
              </w:rPr>
              <w:t>e</w:t>
            </w:r>
            <w:r w:rsidR="006C0208">
              <w:t xml:space="preserve"> b</w:t>
            </w:r>
            <w:r w:rsidR="006C0208" w:rsidRPr="006C0208">
              <w:rPr>
                <w:vertAlign w:val="subscript"/>
              </w:rPr>
              <w:t>0</w:t>
            </w:r>
            <w:r w:rsidR="006C0208">
              <w:t xml:space="preserve"> </w:t>
            </w:r>
          </w:p>
        </w:tc>
        <w:tc>
          <w:tcPr>
            <w:tcW w:w="0" w:type="auto"/>
          </w:tcPr>
          <w:p w:rsidR="006C0208" w:rsidRDefault="006C0208" w:rsidP="00A4551F">
            <w:pPr>
              <w:keepNext/>
              <w:jc w:val="center"/>
            </w:pPr>
            <w:r>
              <w:t>+</w:t>
            </w:r>
          </w:p>
        </w:tc>
        <w:tc>
          <w:tcPr>
            <w:tcW w:w="0" w:type="auto"/>
            <w:tcBorders>
              <w:bottom w:val="single" w:sz="2" w:space="0" w:color="auto"/>
            </w:tcBorders>
          </w:tcPr>
          <w:p w:rsidR="006C0208" w:rsidRDefault="00F1650E" w:rsidP="00A4551F">
            <w:pPr>
              <w:keepNext/>
              <w:jc w:val="center"/>
            </w:pPr>
            <w:r>
              <w:t>e</w:t>
            </w:r>
            <w:r w:rsidR="006C0208">
              <w:rPr>
                <w:vertAlign w:val="subscript"/>
              </w:rPr>
              <w:t xml:space="preserve">2 </w:t>
            </w:r>
            <w:r w:rsidR="006C0208">
              <w:t>– r</w:t>
            </w:r>
            <w:r w:rsidR="006C0208" w:rsidRPr="004550F3">
              <w:rPr>
                <w:vertAlign w:val="subscript"/>
              </w:rPr>
              <w:t>e</w:t>
            </w:r>
            <w:r w:rsidR="006C0208">
              <w:t xml:space="preserve"> b</w:t>
            </w:r>
            <w:r w:rsidR="006C0208">
              <w:rPr>
                <w:vertAlign w:val="subscript"/>
              </w:rPr>
              <w:t>1</w:t>
            </w:r>
          </w:p>
        </w:tc>
        <w:tc>
          <w:tcPr>
            <w:tcW w:w="0" w:type="auto"/>
          </w:tcPr>
          <w:p w:rsidR="006C0208" w:rsidRDefault="006C0208" w:rsidP="00A4551F">
            <w:pPr>
              <w:keepNext/>
              <w:jc w:val="center"/>
            </w:pPr>
            <w:r>
              <w:t>+</w:t>
            </w:r>
          </w:p>
        </w:tc>
        <w:tc>
          <w:tcPr>
            <w:tcW w:w="0" w:type="auto"/>
            <w:tcBorders>
              <w:bottom w:val="single" w:sz="2" w:space="0" w:color="auto"/>
            </w:tcBorders>
          </w:tcPr>
          <w:p w:rsidR="006C0208" w:rsidRDefault="00F1650E" w:rsidP="00A4551F">
            <w:pPr>
              <w:keepNext/>
              <w:jc w:val="center"/>
            </w:pPr>
            <w:r>
              <w:t>e</w:t>
            </w:r>
            <w:r w:rsidR="006C0208">
              <w:rPr>
                <w:vertAlign w:val="subscript"/>
              </w:rPr>
              <w:t xml:space="preserve">3 </w:t>
            </w:r>
            <w:r w:rsidR="006C0208">
              <w:t>– r</w:t>
            </w:r>
            <w:r w:rsidR="006C0208" w:rsidRPr="004550F3">
              <w:rPr>
                <w:vertAlign w:val="subscript"/>
              </w:rPr>
              <w:t>e</w:t>
            </w:r>
            <w:r w:rsidR="006C0208">
              <w:t xml:space="preserve"> b</w:t>
            </w:r>
            <w:r w:rsidR="006C0208">
              <w:rPr>
                <w:vertAlign w:val="subscript"/>
              </w:rPr>
              <w:t>2</w:t>
            </w:r>
          </w:p>
        </w:tc>
      </w:tr>
      <w:tr w:rsidR="006C0208" w:rsidTr="001B1B34">
        <w:trPr>
          <w:cantSplit/>
        </w:trPr>
        <w:tc>
          <w:tcPr>
            <w:tcW w:w="0" w:type="auto"/>
          </w:tcPr>
          <w:p w:rsidR="006C0208" w:rsidRDefault="006C0208" w:rsidP="00A4551F">
            <w:pPr>
              <w:keepNext/>
              <w:jc w:val="center"/>
            </w:pPr>
          </w:p>
        </w:tc>
        <w:tc>
          <w:tcPr>
            <w:tcW w:w="0" w:type="auto"/>
          </w:tcPr>
          <w:p w:rsidR="006C0208" w:rsidRDefault="006C0208" w:rsidP="00A4551F">
            <w:pPr>
              <w:keepNext/>
              <w:jc w:val="center"/>
            </w:pPr>
          </w:p>
        </w:tc>
        <w:tc>
          <w:tcPr>
            <w:tcW w:w="0" w:type="auto"/>
          </w:tcPr>
          <w:p w:rsidR="006C0208" w:rsidRDefault="006C0208" w:rsidP="00A4551F">
            <w:pPr>
              <w:keepNext/>
              <w:jc w:val="center"/>
            </w:pPr>
          </w:p>
        </w:tc>
        <w:tc>
          <w:tcPr>
            <w:tcW w:w="0" w:type="auto"/>
            <w:tcBorders>
              <w:top w:val="single" w:sz="2" w:space="0" w:color="auto"/>
            </w:tcBorders>
          </w:tcPr>
          <w:p w:rsidR="006C0208" w:rsidRDefault="006C0208" w:rsidP="00A4551F">
            <w:pPr>
              <w:keepNext/>
              <w:jc w:val="center"/>
            </w:pPr>
            <w:r>
              <w:t>(1+ r</w:t>
            </w:r>
            <w:r w:rsidRPr="00FE337A">
              <w:rPr>
                <w:vertAlign w:val="subscript"/>
              </w:rPr>
              <w:t>e</w:t>
            </w:r>
            <w:r>
              <w:t>)</w:t>
            </w:r>
          </w:p>
        </w:tc>
        <w:tc>
          <w:tcPr>
            <w:tcW w:w="0" w:type="auto"/>
          </w:tcPr>
          <w:p w:rsidR="006C0208" w:rsidRDefault="006C0208" w:rsidP="00A4551F">
            <w:pPr>
              <w:keepNext/>
              <w:jc w:val="center"/>
            </w:pPr>
          </w:p>
        </w:tc>
        <w:tc>
          <w:tcPr>
            <w:tcW w:w="0" w:type="auto"/>
            <w:tcBorders>
              <w:top w:val="single" w:sz="2" w:space="0" w:color="auto"/>
            </w:tcBorders>
          </w:tcPr>
          <w:p w:rsidR="006C0208" w:rsidRDefault="006C0208" w:rsidP="00A4551F">
            <w:pPr>
              <w:keepNext/>
              <w:jc w:val="center"/>
            </w:pPr>
            <w:r>
              <w:t>(1+ r</w:t>
            </w:r>
            <w:r w:rsidRPr="00FE337A">
              <w:rPr>
                <w:vertAlign w:val="subscript"/>
              </w:rPr>
              <w:t>e</w:t>
            </w:r>
            <w:r>
              <w:t>)</w:t>
            </w:r>
            <w:r w:rsidRPr="006C0208">
              <w:rPr>
                <w:vertAlign w:val="superscript"/>
              </w:rPr>
              <w:t>2</w:t>
            </w:r>
          </w:p>
        </w:tc>
        <w:tc>
          <w:tcPr>
            <w:tcW w:w="0" w:type="auto"/>
          </w:tcPr>
          <w:p w:rsidR="006C0208" w:rsidRDefault="006C0208" w:rsidP="00A4551F">
            <w:pPr>
              <w:keepNext/>
              <w:jc w:val="center"/>
            </w:pPr>
          </w:p>
        </w:tc>
        <w:tc>
          <w:tcPr>
            <w:tcW w:w="0" w:type="auto"/>
            <w:tcBorders>
              <w:top w:val="single" w:sz="2" w:space="0" w:color="auto"/>
            </w:tcBorders>
          </w:tcPr>
          <w:p w:rsidR="006C0208" w:rsidRDefault="006C0208" w:rsidP="00A4551F">
            <w:pPr>
              <w:keepNext/>
              <w:jc w:val="center"/>
            </w:pPr>
            <w:r>
              <w:t>(r</w:t>
            </w:r>
            <w:r w:rsidRPr="00FE337A">
              <w:rPr>
                <w:vertAlign w:val="subscript"/>
              </w:rPr>
              <w:t>e</w:t>
            </w:r>
            <w:r>
              <w:t xml:space="preserve"> -</w:t>
            </w:r>
            <w:r w:rsidR="00056B35">
              <w:t xml:space="preserve"> </w:t>
            </w:r>
            <w:r>
              <w:t>g) (1+ r</w:t>
            </w:r>
            <w:r w:rsidRPr="00FE337A">
              <w:rPr>
                <w:vertAlign w:val="subscript"/>
              </w:rPr>
              <w:t>e</w:t>
            </w:r>
            <w:r>
              <w:t>)</w:t>
            </w:r>
            <w:r w:rsidRPr="006C0208">
              <w:rPr>
                <w:vertAlign w:val="superscript"/>
              </w:rPr>
              <w:t>2</w:t>
            </w:r>
          </w:p>
        </w:tc>
      </w:tr>
      <w:tr w:rsidR="006C0208" w:rsidTr="001B1B34">
        <w:trPr>
          <w:cantSplit/>
        </w:trPr>
        <w:tc>
          <w:tcPr>
            <w:tcW w:w="0" w:type="auto"/>
          </w:tcPr>
          <w:p w:rsidR="006C0208" w:rsidRDefault="006C0208" w:rsidP="00A4551F">
            <w:pPr>
              <w:jc w:val="center"/>
            </w:pPr>
          </w:p>
        </w:tc>
        <w:tc>
          <w:tcPr>
            <w:tcW w:w="0" w:type="auto"/>
          </w:tcPr>
          <w:p w:rsidR="006C0208" w:rsidRDefault="006C0208" w:rsidP="00A4551F">
            <w:pPr>
              <w:jc w:val="center"/>
            </w:pPr>
            <w:r>
              <w:t>Anchor</w:t>
            </w:r>
          </w:p>
        </w:tc>
        <w:tc>
          <w:tcPr>
            <w:tcW w:w="0" w:type="auto"/>
          </w:tcPr>
          <w:p w:rsidR="006C0208" w:rsidRDefault="006C0208" w:rsidP="00A4551F">
            <w:pPr>
              <w:jc w:val="center"/>
            </w:pPr>
          </w:p>
        </w:tc>
        <w:tc>
          <w:tcPr>
            <w:tcW w:w="0" w:type="auto"/>
            <w:gridSpan w:val="3"/>
          </w:tcPr>
          <w:p w:rsidR="006C0208" w:rsidRDefault="006C0208" w:rsidP="00A4551F">
            <w:pPr>
              <w:jc w:val="center"/>
            </w:pPr>
            <w:r>
              <w:t>Until horizon</w:t>
            </w:r>
          </w:p>
        </w:tc>
        <w:tc>
          <w:tcPr>
            <w:tcW w:w="0" w:type="auto"/>
          </w:tcPr>
          <w:p w:rsidR="006C0208" w:rsidRDefault="006C0208" w:rsidP="00A4551F">
            <w:pPr>
              <w:jc w:val="center"/>
            </w:pPr>
          </w:p>
        </w:tc>
        <w:tc>
          <w:tcPr>
            <w:tcW w:w="0" w:type="auto"/>
          </w:tcPr>
          <w:p w:rsidR="006C0208" w:rsidRDefault="006C0208" w:rsidP="00A4551F">
            <w:pPr>
              <w:jc w:val="center"/>
            </w:pPr>
            <w:r>
              <w:t>Beyond horizon</w:t>
            </w:r>
          </w:p>
        </w:tc>
      </w:tr>
    </w:tbl>
    <w:p w:rsidR="00251DE5" w:rsidRPr="006C0208" w:rsidRDefault="00251DE5" w:rsidP="006C0208"/>
    <w:p w:rsidR="007904E1" w:rsidRDefault="007904E1" w:rsidP="00006915">
      <w:pPr>
        <w:pStyle w:val="BodyText"/>
        <w:numPr>
          <w:ilvl w:val="0"/>
          <w:numId w:val="16"/>
        </w:numPr>
      </w:pPr>
      <w:r>
        <w:t xml:space="preserve">Anchor: </w:t>
      </w:r>
      <w:r w:rsidR="00A677DB">
        <w:t>Current book value</w:t>
      </w:r>
      <w:r w:rsidR="006C425F">
        <w:t xml:space="preserve"> b</w:t>
      </w:r>
      <w:r w:rsidR="006C425F" w:rsidRPr="006C425F">
        <w:rPr>
          <w:vertAlign w:val="subscript"/>
        </w:rPr>
        <w:t>0</w:t>
      </w:r>
      <w:r w:rsidR="00A677DB">
        <w:t>. The lower the price/book ratio, the higher the contribution of this anchor to overall value</w:t>
      </w:r>
      <w:r w:rsidR="0009132D">
        <w:t xml:space="preserve"> and the more useful RIV </w:t>
      </w:r>
      <w:r w:rsidR="00B93DD0">
        <w:t xml:space="preserve">is cognitively. </w:t>
      </w:r>
      <w:r w:rsidR="00A677DB">
        <w:t xml:space="preserve">High future ROE, high future growth, and accounting conservatism drive the price/book ratio higher and </w:t>
      </w:r>
      <w:r w:rsidR="00B93DD0">
        <w:t>lower</w:t>
      </w:r>
      <w:r w:rsidR="00A677DB">
        <w:t xml:space="preserve"> the contribution of the anchor to overall value.</w:t>
      </w:r>
    </w:p>
    <w:p w:rsidR="007904E1" w:rsidRDefault="007904E1" w:rsidP="00006915">
      <w:pPr>
        <w:pStyle w:val="BodyText"/>
        <w:numPr>
          <w:ilvl w:val="0"/>
          <w:numId w:val="16"/>
        </w:numPr>
      </w:pPr>
      <w:r>
        <w:t xml:space="preserve">Value derived from forecasts until the explicit forecast horizon: PV of </w:t>
      </w:r>
      <w:r w:rsidR="00A677DB">
        <w:t>residual earnings</w:t>
      </w:r>
      <w:r>
        <w:t xml:space="preserve"> for </w:t>
      </w:r>
      <w:r w:rsidR="00B93DD0">
        <w:t>Y1 and Y2.</w:t>
      </w:r>
    </w:p>
    <w:p w:rsidR="000C4988" w:rsidRDefault="000C4988" w:rsidP="00006915">
      <w:pPr>
        <w:pStyle w:val="BodyText"/>
        <w:numPr>
          <w:ilvl w:val="1"/>
          <w:numId w:val="16"/>
        </w:numPr>
      </w:pPr>
      <w:r w:rsidRPr="000C4988">
        <w:t>Residual change in book value = b</w:t>
      </w:r>
      <w:r w:rsidRPr="000C4988">
        <w:rPr>
          <w:vertAlign w:val="subscript"/>
        </w:rPr>
        <w:t>t</w:t>
      </w:r>
      <w:r w:rsidRPr="000C4988">
        <w:t xml:space="preserve"> + d</w:t>
      </w:r>
      <w:r w:rsidRPr="000C4988">
        <w:rPr>
          <w:vertAlign w:val="subscript"/>
        </w:rPr>
        <w:t>t</w:t>
      </w:r>
      <w:r w:rsidRPr="000C4988">
        <w:t xml:space="preserve"> - (1+r</w:t>
      </w:r>
      <w:r w:rsidRPr="000C4988">
        <w:rPr>
          <w:vertAlign w:val="subscript"/>
        </w:rPr>
        <w:t>e</w:t>
      </w:r>
      <w:r w:rsidRPr="000C4988">
        <w:t>)*b</w:t>
      </w:r>
      <w:r w:rsidRPr="000C4988">
        <w:rPr>
          <w:vertAlign w:val="subscript"/>
        </w:rPr>
        <w:t>t-1</w:t>
      </w:r>
      <w:r>
        <w:t xml:space="preserve"> = </w:t>
      </w:r>
      <w:r w:rsidRPr="000C4988">
        <w:t>e</w:t>
      </w:r>
      <w:r w:rsidRPr="000C4988">
        <w:rPr>
          <w:vertAlign w:val="subscript"/>
        </w:rPr>
        <w:t>t</w:t>
      </w:r>
      <w:r w:rsidRPr="000C4988">
        <w:t xml:space="preserve"> - r</w:t>
      </w:r>
      <w:r w:rsidRPr="000C4988">
        <w:rPr>
          <w:vertAlign w:val="subscript"/>
        </w:rPr>
        <w:t>e</w:t>
      </w:r>
      <w:r w:rsidRPr="000C4988">
        <w:t>*b</w:t>
      </w:r>
      <w:r w:rsidRPr="000C4988">
        <w:rPr>
          <w:vertAlign w:val="subscript"/>
        </w:rPr>
        <w:t>t-1</w:t>
      </w:r>
      <w:r w:rsidRPr="000C4988">
        <w:t xml:space="preserve"> = residual earnings</w:t>
      </w:r>
    </w:p>
    <w:p w:rsidR="007904E1" w:rsidRDefault="007904E1" w:rsidP="00006915">
      <w:pPr>
        <w:pStyle w:val="BodyText"/>
        <w:numPr>
          <w:ilvl w:val="0"/>
          <w:numId w:val="16"/>
        </w:numPr>
      </w:pPr>
      <w:r>
        <w:t>Value derived from forecasts beyond the explicit forecast horizon: PV of</w:t>
      </w:r>
      <w:r w:rsidR="00CF5207">
        <w:t xml:space="preserve"> residual earnings beyond the terminal year</w:t>
      </w:r>
    </w:p>
    <w:p w:rsidR="00CF5207" w:rsidRDefault="007904E1" w:rsidP="00006915">
      <w:pPr>
        <w:pStyle w:val="BodyText"/>
        <w:numPr>
          <w:ilvl w:val="0"/>
          <w:numId w:val="16"/>
        </w:numPr>
      </w:pPr>
      <w:r>
        <w:t>Total value = Sum of the three components listed above.</w:t>
      </w:r>
      <w:r w:rsidR="00B93DD0">
        <w:t xml:space="preserve"> </w:t>
      </w:r>
      <w:r>
        <w:t>The percentage of total value derived from each component is shown next to the component.</w:t>
      </w:r>
    </w:p>
    <w:p w:rsidR="00A93375" w:rsidRDefault="007B5E70" w:rsidP="00A93375">
      <w:pPr>
        <w:pStyle w:val="Heading2"/>
      </w:pPr>
      <w:r>
        <w:t>Earnings growth model [</w:t>
      </w:r>
      <w:r w:rsidR="004550F3">
        <w:t>AEG</w:t>
      </w:r>
      <w:r>
        <w:t>]</w:t>
      </w:r>
      <w:r w:rsidR="00A4551F">
        <w:t xml:space="preserve">: Capitalized earnings and </w:t>
      </w:r>
      <w:r w:rsidR="00A61231">
        <w:t xml:space="preserve">capitalized residual </w:t>
      </w:r>
      <w:r w:rsidR="00A4551F">
        <w:t>change in earnings</w:t>
      </w:r>
    </w:p>
    <w:p w:rsidR="00A93375" w:rsidRDefault="00A93375" w:rsidP="00A93375">
      <w:pPr>
        <w:pStyle w:val="Heading3"/>
      </w:pPr>
      <w:r>
        <w:t>Intermediate optional computations for the earnings growth model</w:t>
      </w:r>
    </w:p>
    <w:p w:rsidR="00A93375" w:rsidRDefault="00A93375" w:rsidP="00D62614">
      <w:pPr>
        <w:pStyle w:val="BodyText"/>
      </w:pPr>
      <w:r>
        <w:t>This model focuses on earnings and earnings growth.</w:t>
      </w:r>
    </w:p>
    <w:tbl>
      <w:tblPr>
        <w:tblW w:w="0" w:type="auto"/>
        <w:tblLook w:val="01E0" w:firstRow="1" w:lastRow="1" w:firstColumn="1" w:lastColumn="1" w:noHBand="0" w:noVBand="0"/>
      </w:tblPr>
      <w:tblGrid>
        <w:gridCol w:w="588"/>
        <w:gridCol w:w="876"/>
        <w:gridCol w:w="341"/>
        <w:gridCol w:w="1805"/>
        <w:gridCol w:w="341"/>
        <w:gridCol w:w="1805"/>
      </w:tblGrid>
      <w:tr w:rsidR="00A93375" w:rsidTr="0096566A">
        <w:trPr>
          <w:cantSplit/>
        </w:trPr>
        <w:tc>
          <w:tcPr>
            <w:tcW w:w="0" w:type="auto"/>
          </w:tcPr>
          <w:p w:rsidR="00A93375" w:rsidRPr="00FE337A" w:rsidRDefault="00A93375" w:rsidP="0096566A">
            <w:pPr>
              <w:keepNext/>
              <w:jc w:val="center"/>
            </w:pPr>
            <w:r>
              <w:t>P</w:t>
            </w:r>
            <w:r w:rsidRPr="00FE337A">
              <w:rPr>
                <w:vertAlign w:val="subscript"/>
              </w:rPr>
              <w:t>0</w:t>
            </w:r>
            <w:r>
              <w:t xml:space="preserve"> =</w:t>
            </w:r>
          </w:p>
        </w:tc>
        <w:tc>
          <w:tcPr>
            <w:tcW w:w="0" w:type="auto"/>
            <w:tcBorders>
              <w:bottom w:val="single" w:sz="2" w:space="0" w:color="auto"/>
            </w:tcBorders>
          </w:tcPr>
          <w:p w:rsidR="00A93375" w:rsidRDefault="00A93375" w:rsidP="0096566A">
            <w:pPr>
              <w:keepNext/>
              <w:jc w:val="center"/>
            </w:pPr>
            <w:r>
              <w:t>e</w:t>
            </w:r>
            <w:r w:rsidRPr="00F1650E">
              <w:rPr>
                <w:vertAlign w:val="subscript"/>
              </w:rPr>
              <w:t>1</w:t>
            </w:r>
          </w:p>
        </w:tc>
        <w:tc>
          <w:tcPr>
            <w:tcW w:w="0" w:type="auto"/>
          </w:tcPr>
          <w:p w:rsidR="00A93375" w:rsidRDefault="00A93375" w:rsidP="0096566A">
            <w:pPr>
              <w:keepNext/>
              <w:jc w:val="center"/>
            </w:pPr>
            <w:r>
              <w:t>+</w:t>
            </w:r>
          </w:p>
        </w:tc>
        <w:tc>
          <w:tcPr>
            <w:tcW w:w="0" w:type="auto"/>
            <w:tcBorders>
              <w:bottom w:val="single" w:sz="2" w:space="0" w:color="auto"/>
            </w:tcBorders>
          </w:tcPr>
          <w:p w:rsidR="00A93375" w:rsidRDefault="00A93375" w:rsidP="0096566A">
            <w:pPr>
              <w:keepNext/>
              <w:jc w:val="center"/>
            </w:pPr>
            <w:r>
              <w:t>e</w:t>
            </w:r>
            <w:r w:rsidRPr="00F1650E">
              <w:rPr>
                <w:vertAlign w:val="subscript"/>
              </w:rPr>
              <w:t>2</w:t>
            </w:r>
            <w:r>
              <w:t>- e</w:t>
            </w:r>
            <w:r w:rsidRPr="00F1650E">
              <w:rPr>
                <w:vertAlign w:val="subscript"/>
              </w:rPr>
              <w:t>1</w:t>
            </w:r>
            <w:r>
              <w:t xml:space="preserve"> – r</w:t>
            </w:r>
            <w:r w:rsidRPr="00FE337A">
              <w:rPr>
                <w:vertAlign w:val="subscript"/>
              </w:rPr>
              <w:t>e</w:t>
            </w:r>
            <w:r>
              <w:t xml:space="preserve"> (e</w:t>
            </w:r>
            <w:r w:rsidRPr="00F1650E">
              <w:rPr>
                <w:vertAlign w:val="subscript"/>
              </w:rPr>
              <w:t>1</w:t>
            </w:r>
            <w:r>
              <w:t xml:space="preserve"> – d</w:t>
            </w:r>
            <w:r w:rsidRPr="00F1650E">
              <w:rPr>
                <w:vertAlign w:val="subscript"/>
              </w:rPr>
              <w:t>1</w:t>
            </w:r>
            <w:r>
              <w:t>)</w:t>
            </w:r>
          </w:p>
        </w:tc>
        <w:tc>
          <w:tcPr>
            <w:tcW w:w="0" w:type="auto"/>
          </w:tcPr>
          <w:p w:rsidR="00A93375" w:rsidRDefault="00A93375" w:rsidP="0096566A">
            <w:pPr>
              <w:keepNext/>
              <w:jc w:val="center"/>
            </w:pPr>
            <w:r>
              <w:t>+</w:t>
            </w:r>
          </w:p>
        </w:tc>
        <w:tc>
          <w:tcPr>
            <w:tcW w:w="0" w:type="auto"/>
            <w:tcBorders>
              <w:bottom w:val="single" w:sz="2" w:space="0" w:color="auto"/>
            </w:tcBorders>
          </w:tcPr>
          <w:p w:rsidR="00A93375" w:rsidRDefault="00A93375" w:rsidP="0096566A">
            <w:pPr>
              <w:keepNext/>
              <w:jc w:val="center"/>
            </w:pPr>
            <w:r>
              <w:t>e</w:t>
            </w:r>
            <w:r>
              <w:rPr>
                <w:vertAlign w:val="subscript"/>
              </w:rPr>
              <w:t>3</w:t>
            </w:r>
            <w:r>
              <w:t>- e</w:t>
            </w:r>
            <w:r w:rsidRPr="00F1650E">
              <w:rPr>
                <w:vertAlign w:val="subscript"/>
              </w:rPr>
              <w:t>2</w:t>
            </w:r>
            <w:r>
              <w:t xml:space="preserve"> – r</w:t>
            </w:r>
            <w:r w:rsidRPr="00FE337A">
              <w:rPr>
                <w:vertAlign w:val="subscript"/>
              </w:rPr>
              <w:t>e</w:t>
            </w:r>
            <w:r>
              <w:t xml:space="preserve"> (e</w:t>
            </w:r>
            <w:r w:rsidRPr="00F1650E">
              <w:rPr>
                <w:vertAlign w:val="subscript"/>
              </w:rPr>
              <w:t>2</w:t>
            </w:r>
            <w:r>
              <w:t xml:space="preserve"> – d</w:t>
            </w:r>
            <w:r>
              <w:rPr>
                <w:vertAlign w:val="subscript"/>
              </w:rPr>
              <w:t>2</w:t>
            </w:r>
            <w:r>
              <w:t>)</w:t>
            </w:r>
          </w:p>
        </w:tc>
      </w:tr>
      <w:tr w:rsidR="00A93375" w:rsidTr="0096566A">
        <w:trPr>
          <w:cantSplit/>
        </w:trPr>
        <w:tc>
          <w:tcPr>
            <w:tcW w:w="0" w:type="auto"/>
          </w:tcPr>
          <w:p w:rsidR="00A93375" w:rsidRDefault="00A93375" w:rsidP="0096566A">
            <w:pPr>
              <w:keepNext/>
              <w:jc w:val="center"/>
            </w:pPr>
          </w:p>
        </w:tc>
        <w:tc>
          <w:tcPr>
            <w:tcW w:w="0" w:type="auto"/>
            <w:tcBorders>
              <w:top w:val="single" w:sz="2" w:space="0" w:color="auto"/>
            </w:tcBorders>
          </w:tcPr>
          <w:p w:rsidR="00A93375" w:rsidRDefault="00A93375" w:rsidP="0096566A">
            <w:pPr>
              <w:keepNext/>
              <w:jc w:val="center"/>
            </w:pPr>
            <w:r>
              <w:t>r</w:t>
            </w:r>
            <w:r w:rsidRPr="00FE337A">
              <w:rPr>
                <w:vertAlign w:val="subscript"/>
              </w:rPr>
              <w:t>e</w:t>
            </w:r>
          </w:p>
        </w:tc>
        <w:tc>
          <w:tcPr>
            <w:tcW w:w="0" w:type="auto"/>
          </w:tcPr>
          <w:p w:rsidR="00A93375" w:rsidRDefault="00A93375" w:rsidP="0096566A">
            <w:pPr>
              <w:keepNext/>
              <w:jc w:val="center"/>
            </w:pPr>
          </w:p>
        </w:tc>
        <w:tc>
          <w:tcPr>
            <w:tcW w:w="0" w:type="auto"/>
            <w:tcBorders>
              <w:top w:val="single" w:sz="2" w:space="0" w:color="auto"/>
            </w:tcBorders>
          </w:tcPr>
          <w:p w:rsidR="00A93375" w:rsidRDefault="00A93375" w:rsidP="0096566A">
            <w:pPr>
              <w:keepNext/>
              <w:jc w:val="center"/>
            </w:pPr>
            <w:r>
              <w:t>r</w:t>
            </w:r>
            <w:r w:rsidRPr="00FE337A">
              <w:rPr>
                <w:vertAlign w:val="subscript"/>
              </w:rPr>
              <w:t>e</w:t>
            </w:r>
            <w:r>
              <w:t xml:space="preserve"> (1+ r</w:t>
            </w:r>
            <w:r w:rsidRPr="00FE337A">
              <w:rPr>
                <w:vertAlign w:val="subscript"/>
              </w:rPr>
              <w:t>e</w:t>
            </w:r>
            <w:r>
              <w:t>)</w:t>
            </w:r>
          </w:p>
        </w:tc>
        <w:tc>
          <w:tcPr>
            <w:tcW w:w="0" w:type="auto"/>
          </w:tcPr>
          <w:p w:rsidR="00A93375" w:rsidRDefault="00A93375" w:rsidP="0096566A">
            <w:pPr>
              <w:keepNext/>
              <w:jc w:val="center"/>
            </w:pPr>
          </w:p>
        </w:tc>
        <w:tc>
          <w:tcPr>
            <w:tcW w:w="0" w:type="auto"/>
            <w:tcBorders>
              <w:top w:val="single" w:sz="2" w:space="0" w:color="auto"/>
            </w:tcBorders>
          </w:tcPr>
          <w:p w:rsidR="00A93375" w:rsidRDefault="00A93375" w:rsidP="00167F1C">
            <w:pPr>
              <w:keepNext/>
              <w:jc w:val="center"/>
            </w:pPr>
            <w:r>
              <w:t>r</w:t>
            </w:r>
            <w:r w:rsidRPr="00FE337A">
              <w:rPr>
                <w:vertAlign w:val="subscript"/>
              </w:rPr>
              <w:t>e</w:t>
            </w:r>
            <w:r>
              <w:t xml:space="preserve"> (r</w:t>
            </w:r>
            <w:r w:rsidRPr="00FE337A">
              <w:rPr>
                <w:vertAlign w:val="subscript"/>
              </w:rPr>
              <w:t>e</w:t>
            </w:r>
            <w:r>
              <w:t xml:space="preserve"> -g) (1+ r</w:t>
            </w:r>
            <w:r w:rsidRPr="00FE337A">
              <w:rPr>
                <w:vertAlign w:val="subscript"/>
              </w:rPr>
              <w:t>e</w:t>
            </w:r>
            <w:r>
              <w:t>)</w:t>
            </w:r>
          </w:p>
        </w:tc>
      </w:tr>
      <w:tr w:rsidR="00A93375" w:rsidTr="0096566A">
        <w:trPr>
          <w:cantSplit/>
        </w:trPr>
        <w:tc>
          <w:tcPr>
            <w:tcW w:w="0" w:type="auto"/>
          </w:tcPr>
          <w:p w:rsidR="00A93375" w:rsidRDefault="00A93375" w:rsidP="0096566A">
            <w:pPr>
              <w:jc w:val="center"/>
            </w:pPr>
          </w:p>
        </w:tc>
        <w:tc>
          <w:tcPr>
            <w:tcW w:w="0" w:type="auto"/>
          </w:tcPr>
          <w:p w:rsidR="00A93375" w:rsidRDefault="00A93375" w:rsidP="0096566A">
            <w:pPr>
              <w:jc w:val="center"/>
            </w:pPr>
            <w:r>
              <w:t>Anchor</w:t>
            </w:r>
          </w:p>
        </w:tc>
        <w:tc>
          <w:tcPr>
            <w:tcW w:w="0" w:type="auto"/>
          </w:tcPr>
          <w:p w:rsidR="00A93375" w:rsidRDefault="00A93375" w:rsidP="0096566A">
            <w:pPr>
              <w:jc w:val="center"/>
            </w:pPr>
          </w:p>
        </w:tc>
        <w:tc>
          <w:tcPr>
            <w:tcW w:w="0" w:type="auto"/>
          </w:tcPr>
          <w:p w:rsidR="00A93375" w:rsidRDefault="00A93375" w:rsidP="0096566A">
            <w:pPr>
              <w:jc w:val="center"/>
            </w:pPr>
            <w:r>
              <w:t>Until horizon</w:t>
            </w:r>
          </w:p>
        </w:tc>
        <w:tc>
          <w:tcPr>
            <w:tcW w:w="0" w:type="auto"/>
          </w:tcPr>
          <w:p w:rsidR="00A93375" w:rsidRDefault="00A93375" w:rsidP="0096566A">
            <w:pPr>
              <w:jc w:val="center"/>
            </w:pPr>
          </w:p>
        </w:tc>
        <w:tc>
          <w:tcPr>
            <w:tcW w:w="0" w:type="auto"/>
          </w:tcPr>
          <w:p w:rsidR="00A93375" w:rsidRDefault="00A93375" w:rsidP="0096566A">
            <w:pPr>
              <w:jc w:val="center"/>
            </w:pPr>
            <w:r>
              <w:t>Beyond horizon</w:t>
            </w:r>
          </w:p>
        </w:tc>
      </w:tr>
    </w:tbl>
    <w:p w:rsidR="00D62614" w:rsidRDefault="00D62614" w:rsidP="00D62614"/>
    <w:p w:rsidR="00A93375" w:rsidRDefault="00A93375" w:rsidP="00006915">
      <w:pPr>
        <w:pStyle w:val="BodyText"/>
        <w:numPr>
          <w:ilvl w:val="0"/>
          <w:numId w:val="16"/>
        </w:numPr>
      </w:pPr>
      <w:r>
        <w:t>Change in earnings = e</w:t>
      </w:r>
      <w:r w:rsidRPr="00FE337A">
        <w:rPr>
          <w:vertAlign w:val="subscript"/>
        </w:rPr>
        <w:t>t</w:t>
      </w:r>
      <w:r>
        <w:t xml:space="preserve"> – e</w:t>
      </w:r>
      <w:r w:rsidRPr="00FE337A">
        <w:rPr>
          <w:vertAlign w:val="subscript"/>
        </w:rPr>
        <w:t>t-1</w:t>
      </w:r>
    </w:p>
    <w:p w:rsidR="00A93375" w:rsidRDefault="00A93375" w:rsidP="00006915">
      <w:pPr>
        <w:pStyle w:val="BodyText"/>
        <w:numPr>
          <w:ilvl w:val="0"/>
          <w:numId w:val="16"/>
        </w:numPr>
      </w:pPr>
      <w:r>
        <w:t>Amount reinvested = Earnings – Dividends = e</w:t>
      </w:r>
      <w:r w:rsidRPr="00FE337A">
        <w:rPr>
          <w:vertAlign w:val="subscript"/>
        </w:rPr>
        <w:t>t-1</w:t>
      </w:r>
      <w:r>
        <w:t xml:space="preserve"> - d</w:t>
      </w:r>
      <w:r w:rsidRPr="00FE337A">
        <w:rPr>
          <w:vertAlign w:val="subscript"/>
        </w:rPr>
        <w:t>t-1</w:t>
      </w:r>
    </w:p>
    <w:p w:rsidR="00A93375" w:rsidRDefault="00A93375" w:rsidP="00006915">
      <w:pPr>
        <w:pStyle w:val="BodyText"/>
        <w:numPr>
          <w:ilvl w:val="0"/>
          <w:numId w:val="16"/>
        </w:numPr>
      </w:pPr>
      <w:r>
        <w:t xml:space="preserve">One should expect </w:t>
      </w:r>
      <w:r w:rsidR="00F26751">
        <w:t>earnings to increase due to r</w:t>
      </w:r>
      <w:r>
        <w:t>e</w:t>
      </w:r>
      <w:r w:rsidR="00F26751">
        <w:t>investment of retained earnings</w:t>
      </w:r>
      <w:r>
        <w:t xml:space="preserve">. </w:t>
      </w:r>
      <w:r w:rsidRPr="00707C21">
        <w:t>Change in earnings expected next year if reinvestment yields cost of equity, i.e.,</w:t>
      </w:r>
      <w:r>
        <w:t xml:space="preserve"> reinvestments are </w:t>
      </w:r>
      <w:r w:rsidRPr="00707C21">
        <w:t>zero NPV</w:t>
      </w:r>
      <w:r>
        <w:t xml:space="preserve"> = </w:t>
      </w:r>
      <w:r w:rsidR="00F26751">
        <w:t>cost of equity * r</w:t>
      </w:r>
      <w:r>
        <w:t>einvestmen</w:t>
      </w:r>
      <w:r w:rsidR="00F26751">
        <w:t xml:space="preserve">t at the end of previous year = </w:t>
      </w:r>
      <w:r>
        <w:t>r</w:t>
      </w:r>
      <w:r w:rsidRPr="00FE337A">
        <w:rPr>
          <w:vertAlign w:val="subscript"/>
        </w:rPr>
        <w:t>e</w:t>
      </w:r>
      <w:r>
        <w:t xml:space="preserve"> * (e</w:t>
      </w:r>
      <w:r w:rsidRPr="00FE337A">
        <w:rPr>
          <w:vertAlign w:val="subscript"/>
        </w:rPr>
        <w:t>t-1</w:t>
      </w:r>
      <w:r>
        <w:t xml:space="preserve"> - d</w:t>
      </w:r>
      <w:r w:rsidRPr="00FE337A">
        <w:rPr>
          <w:vertAlign w:val="subscript"/>
        </w:rPr>
        <w:t>t-1</w:t>
      </w:r>
      <w:r>
        <w:t>)</w:t>
      </w:r>
    </w:p>
    <w:p w:rsidR="00A93375" w:rsidRDefault="00A93375" w:rsidP="00006915">
      <w:pPr>
        <w:pStyle w:val="BodyText"/>
        <w:numPr>
          <w:ilvl w:val="0"/>
          <w:numId w:val="16"/>
        </w:numPr>
      </w:pPr>
      <w:r>
        <w:t xml:space="preserve">Residual change in earnings = residual </w:t>
      </w:r>
      <w:r w:rsidRPr="00881AF2">
        <w:rPr>
          <w:rFonts w:ascii="Symbol" w:hAnsi="Symbol"/>
        </w:rPr>
        <w:t></w:t>
      </w:r>
      <w:r>
        <w:t>e</w:t>
      </w:r>
      <w:r w:rsidRPr="00881AF2">
        <w:rPr>
          <w:vertAlign w:val="subscript"/>
        </w:rPr>
        <w:t>t</w:t>
      </w:r>
      <w:r>
        <w:t xml:space="preserve"> = e</w:t>
      </w:r>
      <w:r w:rsidRPr="00FE337A">
        <w:rPr>
          <w:vertAlign w:val="subscript"/>
        </w:rPr>
        <w:t>t</w:t>
      </w:r>
      <w:r>
        <w:t xml:space="preserve"> – e</w:t>
      </w:r>
      <w:r w:rsidRPr="00FE337A">
        <w:rPr>
          <w:vertAlign w:val="subscript"/>
        </w:rPr>
        <w:t>t-1</w:t>
      </w:r>
      <w:r>
        <w:t xml:space="preserve"> - r</w:t>
      </w:r>
      <w:r w:rsidRPr="00FE337A">
        <w:rPr>
          <w:vertAlign w:val="subscript"/>
        </w:rPr>
        <w:t>e</w:t>
      </w:r>
      <w:r>
        <w:t xml:space="preserve"> (e</w:t>
      </w:r>
      <w:r w:rsidRPr="00FE337A">
        <w:rPr>
          <w:vertAlign w:val="subscript"/>
        </w:rPr>
        <w:t>t-1</w:t>
      </w:r>
      <w:r>
        <w:t xml:space="preserve"> - d</w:t>
      </w:r>
      <w:r w:rsidRPr="00FE337A">
        <w:rPr>
          <w:vertAlign w:val="subscript"/>
        </w:rPr>
        <w:t>t-1</w:t>
      </w:r>
      <w:r>
        <w:t>)</w:t>
      </w:r>
    </w:p>
    <w:p w:rsidR="00A93375" w:rsidRDefault="00A93375" w:rsidP="00006915">
      <w:pPr>
        <w:pStyle w:val="BodyText"/>
        <w:numPr>
          <w:ilvl w:val="1"/>
          <w:numId w:val="16"/>
        </w:numPr>
      </w:pPr>
      <w:r>
        <w:t xml:space="preserve">= Change in earnings - </w:t>
      </w:r>
      <w:r w:rsidRPr="00EF7825">
        <w:t>Change in earnings</w:t>
      </w:r>
      <w:r>
        <w:t xml:space="preserve"> expected from if investment yields r</w:t>
      </w:r>
      <w:r w:rsidRPr="00655776">
        <w:rPr>
          <w:vertAlign w:val="subscript"/>
        </w:rPr>
        <w:t>e</w:t>
      </w:r>
      <w:r>
        <w:t>.</w:t>
      </w:r>
    </w:p>
    <w:p w:rsidR="00A93375" w:rsidRDefault="00A93375" w:rsidP="00006915">
      <w:pPr>
        <w:pStyle w:val="BodyText"/>
        <w:numPr>
          <w:ilvl w:val="1"/>
          <w:numId w:val="16"/>
        </w:numPr>
      </w:pPr>
      <w:r>
        <w:t>If there is no payout, i.e., d</w:t>
      </w:r>
      <w:r w:rsidRPr="000E74EA">
        <w:rPr>
          <w:vertAlign w:val="subscript"/>
        </w:rPr>
        <w:t>t-1</w:t>
      </w:r>
      <w:r>
        <w:t xml:space="preserve"> = 0, </w:t>
      </w:r>
      <w:bookmarkStart w:id="1" w:name="OLE_LINK1"/>
      <w:bookmarkStart w:id="2" w:name="OLE_LINK2"/>
      <w:r>
        <w:t xml:space="preserve">then residual change in earnings is zero if and only if the </w:t>
      </w:r>
      <w:r w:rsidR="0087317E">
        <w:t xml:space="preserve">earnings </w:t>
      </w:r>
      <w:r>
        <w:t xml:space="preserve">growth </w:t>
      </w:r>
      <w:r w:rsidR="00A04043">
        <w:t xml:space="preserve">rate </w:t>
      </w:r>
      <w:r>
        <w:t>equals r</w:t>
      </w:r>
      <w:r w:rsidRPr="003678D1">
        <w:rPr>
          <w:vertAlign w:val="subscript"/>
        </w:rPr>
        <w:t>e</w:t>
      </w:r>
      <w:r>
        <w:t>.</w:t>
      </w:r>
      <w:bookmarkEnd w:id="1"/>
      <w:bookmarkEnd w:id="2"/>
    </w:p>
    <w:p w:rsidR="00A93375" w:rsidRDefault="00A93375" w:rsidP="00006915">
      <w:pPr>
        <w:pStyle w:val="BodyText"/>
        <w:numPr>
          <w:ilvl w:val="1"/>
          <w:numId w:val="16"/>
        </w:numPr>
      </w:pPr>
      <w:r>
        <w:t>If there is full payout, d</w:t>
      </w:r>
      <w:r w:rsidRPr="00FE337A">
        <w:rPr>
          <w:vertAlign w:val="subscript"/>
        </w:rPr>
        <w:t>t-1</w:t>
      </w:r>
      <w:r>
        <w:rPr>
          <w:vertAlign w:val="subscript"/>
        </w:rPr>
        <w:t xml:space="preserve"> = </w:t>
      </w:r>
      <w:r>
        <w:t>e</w:t>
      </w:r>
      <w:r w:rsidRPr="00FE337A">
        <w:rPr>
          <w:vertAlign w:val="subscript"/>
        </w:rPr>
        <w:t>t-1</w:t>
      </w:r>
      <w:r>
        <w:t>, then residual change in earnings is zero if and only if there is no growth in earnings.</w:t>
      </w:r>
    </w:p>
    <w:p w:rsidR="00A93375" w:rsidRDefault="00A93375" w:rsidP="00006915">
      <w:pPr>
        <w:pStyle w:val="BodyText"/>
        <w:numPr>
          <w:ilvl w:val="0"/>
          <w:numId w:val="16"/>
        </w:numPr>
      </w:pPr>
      <w:r>
        <w:t>For checking only: change in residual earnings =</w:t>
      </w:r>
      <w:r w:rsidR="003269F5">
        <w:t xml:space="preserve"> </w:t>
      </w:r>
      <w:r>
        <w:t>(e</w:t>
      </w:r>
      <w:r w:rsidRPr="00FE337A">
        <w:rPr>
          <w:vertAlign w:val="subscript"/>
        </w:rPr>
        <w:t>t</w:t>
      </w:r>
      <w:r>
        <w:t xml:space="preserve"> – r</w:t>
      </w:r>
      <w:r w:rsidRPr="00584655">
        <w:rPr>
          <w:vertAlign w:val="subscript"/>
        </w:rPr>
        <w:t>e</w:t>
      </w:r>
      <w:r>
        <w:t xml:space="preserve"> b</w:t>
      </w:r>
      <w:r w:rsidRPr="00584655">
        <w:rPr>
          <w:vertAlign w:val="subscript"/>
        </w:rPr>
        <w:t>t-1</w:t>
      </w:r>
      <w:r>
        <w:t>) - (e</w:t>
      </w:r>
      <w:r w:rsidRPr="00FE337A">
        <w:rPr>
          <w:vertAlign w:val="subscript"/>
        </w:rPr>
        <w:t>t</w:t>
      </w:r>
      <w:r>
        <w:rPr>
          <w:vertAlign w:val="subscript"/>
        </w:rPr>
        <w:t>-1</w:t>
      </w:r>
      <w:r>
        <w:t xml:space="preserve"> – r</w:t>
      </w:r>
      <w:r w:rsidRPr="00584655">
        <w:rPr>
          <w:vertAlign w:val="subscript"/>
        </w:rPr>
        <w:t>e</w:t>
      </w:r>
      <w:r>
        <w:t xml:space="preserve"> b</w:t>
      </w:r>
      <w:r w:rsidRPr="00584655">
        <w:rPr>
          <w:vertAlign w:val="subscript"/>
        </w:rPr>
        <w:t>t-</w:t>
      </w:r>
      <w:r>
        <w:rPr>
          <w:vertAlign w:val="subscript"/>
        </w:rPr>
        <w:t>2</w:t>
      </w:r>
      <w:r>
        <w:t>) = e</w:t>
      </w:r>
      <w:r w:rsidRPr="00FE337A">
        <w:rPr>
          <w:vertAlign w:val="subscript"/>
        </w:rPr>
        <w:t>t</w:t>
      </w:r>
      <w:r>
        <w:t xml:space="preserve"> - e</w:t>
      </w:r>
      <w:r w:rsidRPr="00FE337A">
        <w:rPr>
          <w:vertAlign w:val="subscript"/>
        </w:rPr>
        <w:t>t</w:t>
      </w:r>
      <w:r>
        <w:rPr>
          <w:vertAlign w:val="subscript"/>
        </w:rPr>
        <w:t>-1</w:t>
      </w:r>
      <w:r>
        <w:t xml:space="preserve"> – r</w:t>
      </w:r>
      <w:r w:rsidRPr="00584655">
        <w:rPr>
          <w:vertAlign w:val="subscript"/>
        </w:rPr>
        <w:t>e</w:t>
      </w:r>
      <w:r>
        <w:t xml:space="preserve"> (b</w:t>
      </w:r>
      <w:r w:rsidRPr="00584655">
        <w:rPr>
          <w:vertAlign w:val="subscript"/>
        </w:rPr>
        <w:t>t-1</w:t>
      </w:r>
      <w:r>
        <w:t>-b</w:t>
      </w:r>
      <w:r w:rsidRPr="00584655">
        <w:rPr>
          <w:vertAlign w:val="subscript"/>
        </w:rPr>
        <w:t>t-</w:t>
      </w:r>
      <w:r>
        <w:rPr>
          <w:vertAlign w:val="subscript"/>
        </w:rPr>
        <w:t>2</w:t>
      </w:r>
      <w:r>
        <w:t>) = e</w:t>
      </w:r>
      <w:r w:rsidRPr="00FE337A">
        <w:rPr>
          <w:vertAlign w:val="subscript"/>
        </w:rPr>
        <w:t>t</w:t>
      </w:r>
      <w:r>
        <w:t>- e</w:t>
      </w:r>
      <w:r w:rsidRPr="00FE337A">
        <w:rPr>
          <w:vertAlign w:val="subscript"/>
        </w:rPr>
        <w:t>t</w:t>
      </w:r>
      <w:r>
        <w:rPr>
          <w:vertAlign w:val="subscript"/>
        </w:rPr>
        <w:t>-1</w:t>
      </w:r>
      <w:r>
        <w:t xml:space="preserve"> – r</w:t>
      </w:r>
      <w:r w:rsidRPr="00584655">
        <w:rPr>
          <w:vertAlign w:val="subscript"/>
        </w:rPr>
        <w:t>e</w:t>
      </w:r>
      <w:r>
        <w:t xml:space="preserve"> (e</w:t>
      </w:r>
      <w:r w:rsidRPr="00FE337A">
        <w:rPr>
          <w:vertAlign w:val="subscript"/>
        </w:rPr>
        <w:t>t-1</w:t>
      </w:r>
      <w:r>
        <w:t xml:space="preserve"> - d</w:t>
      </w:r>
      <w:r w:rsidRPr="00FE337A">
        <w:rPr>
          <w:vertAlign w:val="subscript"/>
        </w:rPr>
        <w:t>t-1</w:t>
      </w:r>
      <w:r>
        <w:t>) = Residual change in earnings</w:t>
      </w:r>
    </w:p>
    <w:p w:rsidR="00A93375" w:rsidRDefault="00A93375" w:rsidP="00006915">
      <w:pPr>
        <w:pStyle w:val="BodyText"/>
        <w:numPr>
          <w:ilvl w:val="0"/>
          <w:numId w:val="16"/>
        </w:numPr>
      </w:pPr>
      <w:bookmarkStart w:id="3" w:name="OLE_LINK3"/>
      <w:bookmarkStart w:id="4" w:name="OLE_LINK4"/>
      <w:r>
        <w:t xml:space="preserve">Residual change in earnings = </w:t>
      </w:r>
      <w:bookmarkEnd w:id="3"/>
      <w:bookmarkEnd w:id="4"/>
      <w:r>
        <w:t>change in residual earnings</w:t>
      </w:r>
    </w:p>
    <w:p w:rsidR="00A93375" w:rsidRDefault="00A93375" w:rsidP="00006915">
      <w:pPr>
        <w:pStyle w:val="BodyText"/>
        <w:numPr>
          <w:ilvl w:val="0"/>
          <w:numId w:val="16"/>
        </w:numPr>
      </w:pPr>
      <w:r>
        <w:t xml:space="preserve">Growth rate of residual change in earnings = (residual </w:t>
      </w:r>
      <w:r w:rsidRPr="00881AF2">
        <w:rPr>
          <w:rFonts w:ascii="Symbol" w:hAnsi="Symbol"/>
        </w:rPr>
        <w:t></w:t>
      </w:r>
      <w:r>
        <w:t>e</w:t>
      </w:r>
      <w:r w:rsidRPr="00881AF2">
        <w:rPr>
          <w:vertAlign w:val="subscript"/>
        </w:rPr>
        <w:t>t</w:t>
      </w:r>
      <w:r>
        <w:rPr>
          <w:vertAlign w:val="subscript"/>
        </w:rPr>
        <w:t xml:space="preserve"> </w:t>
      </w:r>
      <w:r>
        <w:t xml:space="preserve">/ residual </w:t>
      </w:r>
      <w:r w:rsidRPr="00881AF2">
        <w:rPr>
          <w:rFonts w:ascii="Symbol" w:hAnsi="Symbol"/>
        </w:rPr>
        <w:t></w:t>
      </w:r>
      <w:r>
        <w:t>e</w:t>
      </w:r>
      <w:r w:rsidRPr="00881AF2">
        <w:rPr>
          <w:vertAlign w:val="subscript"/>
        </w:rPr>
        <w:t>t</w:t>
      </w:r>
      <w:r>
        <w:rPr>
          <w:vertAlign w:val="subscript"/>
        </w:rPr>
        <w:t>-1</w:t>
      </w:r>
      <w:r>
        <w:t>) – 1</w:t>
      </w:r>
    </w:p>
    <w:p w:rsidR="00A93375" w:rsidRDefault="00D62614" w:rsidP="00F26751">
      <w:pPr>
        <w:pStyle w:val="BodyText"/>
        <w:numPr>
          <w:ilvl w:val="1"/>
          <w:numId w:val="16"/>
        </w:numPr>
      </w:pPr>
      <w:r>
        <w:t>T</w:t>
      </w:r>
      <w:r w:rsidR="00A93375">
        <w:t>he res</w:t>
      </w:r>
      <w:r>
        <w:t>idual changes in earnings reach</w:t>
      </w:r>
      <w:r w:rsidR="00A93375">
        <w:t xml:space="preserve"> perpetual growth one year after the terminal year. </w:t>
      </w:r>
    </w:p>
    <w:p w:rsidR="00A93375" w:rsidRDefault="00A93375" w:rsidP="00006915">
      <w:pPr>
        <w:pStyle w:val="BodyText"/>
        <w:numPr>
          <w:ilvl w:val="0"/>
          <w:numId w:val="16"/>
        </w:numPr>
      </w:pPr>
      <w:r>
        <w:t xml:space="preserve">Value added each year = Forthcoming residual change in earnings/Cost of equity. </w:t>
      </w:r>
    </w:p>
    <w:p w:rsidR="00A93375" w:rsidRDefault="00A93375" w:rsidP="00006915">
      <w:pPr>
        <w:pStyle w:val="BodyText"/>
        <w:numPr>
          <w:ilvl w:val="1"/>
          <w:numId w:val="16"/>
        </w:numPr>
      </w:pPr>
      <w:r>
        <w:t>va</w:t>
      </w:r>
      <w:r w:rsidRPr="00FE337A">
        <w:rPr>
          <w:vertAlign w:val="subscript"/>
        </w:rPr>
        <w:t>t</w:t>
      </w:r>
      <w:r>
        <w:t xml:space="preserve"> = residual </w:t>
      </w:r>
      <w:r w:rsidRPr="00881AF2">
        <w:rPr>
          <w:rFonts w:ascii="Symbol" w:hAnsi="Symbol"/>
        </w:rPr>
        <w:t></w:t>
      </w:r>
      <w:r>
        <w:t>e</w:t>
      </w:r>
      <w:r w:rsidRPr="00881AF2">
        <w:rPr>
          <w:vertAlign w:val="subscript"/>
        </w:rPr>
        <w:t>t</w:t>
      </w:r>
      <w:r>
        <w:rPr>
          <w:vertAlign w:val="subscript"/>
        </w:rPr>
        <w:t>+1</w:t>
      </w:r>
      <w:r>
        <w:t>/r</w:t>
      </w:r>
      <w:r w:rsidRPr="00881AF2">
        <w:rPr>
          <w:vertAlign w:val="subscript"/>
        </w:rPr>
        <w:t>e</w:t>
      </w:r>
    </w:p>
    <w:p w:rsidR="00A93375" w:rsidRDefault="00A93375" w:rsidP="00006915">
      <w:pPr>
        <w:pStyle w:val="BodyText"/>
        <w:numPr>
          <w:ilvl w:val="1"/>
          <w:numId w:val="16"/>
        </w:numPr>
      </w:pPr>
      <w:r>
        <w:t xml:space="preserve">Since capitalized earnings are </w:t>
      </w:r>
      <w:r w:rsidR="004C135F">
        <w:t xml:space="preserve">the </w:t>
      </w:r>
      <w:r>
        <w:t xml:space="preserve">anchor, additional value </w:t>
      </w:r>
      <w:r w:rsidR="004C135F">
        <w:t>arises</w:t>
      </w:r>
      <w:r>
        <w:t xml:space="preserve"> only from a residual change in earnings. The residual change in earnings is capitalized because the new earnings become the base for future earnings growth, i.e., the effect of a</w:t>
      </w:r>
      <w:r w:rsidR="004C135F">
        <w:t xml:space="preserve"> change in earnings perpetuates</w:t>
      </w:r>
      <w:r>
        <w:t>.</w:t>
      </w:r>
    </w:p>
    <w:p w:rsidR="00A93375" w:rsidRDefault="00A93375" w:rsidP="00006915">
      <w:pPr>
        <w:pStyle w:val="BodyText"/>
        <w:numPr>
          <w:ilvl w:val="0"/>
          <w:numId w:val="16"/>
        </w:numPr>
      </w:pPr>
      <w:r>
        <w:t>PV of value added during the explicit horizon years.</w:t>
      </w:r>
    </w:p>
    <w:p w:rsidR="00A93375" w:rsidRPr="00320ABB" w:rsidRDefault="00A93375" w:rsidP="00006915">
      <w:pPr>
        <w:pStyle w:val="BodyText"/>
        <w:numPr>
          <w:ilvl w:val="1"/>
          <w:numId w:val="16"/>
        </w:numPr>
        <w:rPr>
          <w:lang w:val="de-DE"/>
        </w:rPr>
      </w:pPr>
      <w:r w:rsidRPr="00320ABB">
        <w:rPr>
          <w:lang w:val="de-DE"/>
        </w:rPr>
        <w:t>va</w:t>
      </w:r>
      <w:r w:rsidRPr="00320ABB">
        <w:rPr>
          <w:vertAlign w:val="subscript"/>
          <w:lang w:val="de-DE"/>
        </w:rPr>
        <w:t>1</w:t>
      </w:r>
      <w:r w:rsidRPr="00320ABB">
        <w:rPr>
          <w:lang w:val="de-DE"/>
        </w:rPr>
        <w:t>/(1+r</w:t>
      </w:r>
      <w:r w:rsidRPr="00320ABB">
        <w:rPr>
          <w:vertAlign w:val="subscript"/>
          <w:lang w:val="de-DE"/>
        </w:rPr>
        <w:t>e</w:t>
      </w:r>
      <w:r w:rsidRPr="00320ABB">
        <w:rPr>
          <w:lang w:val="de-DE"/>
        </w:rPr>
        <w:t>) =</w:t>
      </w:r>
      <w:r w:rsidR="003269F5" w:rsidRPr="00320ABB">
        <w:rPr>
          <w:lang w:val="de-DE"/>
        </w:rPr>
        <w:t xml:space="preserve"> </w:t>
      </w:r>
      <w:r w:rsidRPr="00320ABB">
        <w:rPr>
          <w:lang w:val="de-DE"/>
        </w:rPr>
        <w:t xml:space="preserve">residual </w:t>
      </w:r>
      <w:r w:rsidRPr="00881AF2">
        <w:rPr>
          <w:rFonts w:ascii="Symbol" w:hAnsi="Symbol"/>
        </w:rPr>
        <w:t></w:t>
      </w:r>
      <w:r w:rsidRPr="00320ABB">
        <w:rPr>
          <w:lang w:val="de-DE"/>
        </w:rPr>
        <w:t>e</w:t>
      </w:r>
      <w:r w:rsidRPr="00320ABB">
        <w:rPr>
          <w:vertAlign w:val="subscript"/>
          <w:lang w:val="de-DE"/>
        </w:rPr>
        <w:t>2</w:t>
      </w:r>
      <w:r w:rsidRPr="00320ABB">
        <w:rPr>
          <w:lang w:val="de-DE"/>
        </w:rPr>
        <w:t>/(r</w:t>
      </w:r>
      <w:r w:rsidRPr="00320ABB">
        <w:rPr>
          <w:vertAlign w:val="subscript"/>
          <w:lang w:val="de-DE"/>
        </w:rPr>
        <w:t>e</w:t>
      </w:r>
      <w:r w:rsidRPr="00320ABB">
        <w:rPr>
          <w:lang w:val="de-DE"/>
        </w:rPr>
        <w:t>*(1+r</w:t>
      </w:r>
      <w:r w:rsidRPr="00320ABB">
        <w:rPr>
          <w:vertAlign w:val="subscript"/>
          <w:lang w:val="de-DE"/>
        </w:rPr>
        <w:t>e</w:t>
      </w:r>
      <w:r w:rsidRPr="00320ABB">
        <w:rPr>
          <w:lang w:val="de-DE"/>
        </w:rPr>
        <w:t>)) = (e</w:t>
      </w:r>
      <w:r w:rsidRPr="00320ABB">
        <w:rPr>
          <w:vertAlign w:val="subscript"/>
          <w:lang w:val="de-DE"/>
        </w:rPr>
        <w:t>2</w:t>
      </w:r>
      <w:r w:rsidRPr="00320ABB">
        <w:rPr>
          <w:lang w:val="de-DE"/>
        </w:rPr>
        <w:t>- e</w:t>
      </w:r>
      <w:r w:rsidRPr="00320ABB">
        <w:rPr>
          <w:vertAlign w:val="subscript"/>
          <w:lang w:val="de-DE"/>
        </w:rPr>
        <w:t>1</w:t>
      </w:r>
      <w:r w:rsidRPr="00320ABB">
        <w:rPr>
          <w:lang w:val="de-DE"/>
        </w:rPr>
        <w:t xml:space="preserve"> – r</w:t>
      </w:r>
      <w:r w:rsidRPr="00320ABB">
        <w:rPr>
          <w:vertAlign w:val="subscript"/>
          <w:lang w:val="de-DE"/>
        </w:rPr>
        <w:t>e</w:t>
      </w:r>
      <w:r w:rsidRPr="00320ABB">
        <w:rPr>
          <w:lang w:val="de-DE"/>
        </w:rPr>
        <w:t xml:space="preserve"> (e</w:t>
      </w:r>
      <w:r w:rsidRPr="00320ABB">
        <w:rPr>
          <w:vertAlign w:val="subscript"/>
          <w:lang w:val="de-DE"/>
        </w:rPr>
        <w:t>1</w:t>
      </w:r>
      <w:r w:rsidRPr="00320ABB">
        <w:rPr>
          <w:lang w:val="de-DE"/>
        </w:rPr>
        <w:t xml:space="preserve"> – d</w:t>
      </w:r>
      <w:r w:rsidRPr="00320ABB">
        <w:rPr>
          <w:vertAlign w:val="subscript"/>
          <w:lang w:val="de-DE"/>
        </w:rPr>
        <w:t>1</w:t>
      </w:r>
      <w:r w:rsidRPr="00320ABB">
        <w:rPr>
          <w:lang w:val="de-DE"/>
        </w:rPr>
        <w:t>) ) / /(r</w:t>
      </w:r>
      <w:r w:rsidRPr="00320ABB">
        <w:rPr>
          <w:vertAlign w:val="subscript"/>
          <w:lang w:val="de-DE"/>
        </w:rPr>
        <w:t>e</w:t>
      </w:r>
      <w:r w:rsidRPr="00320ABB">
        <w:rPr>
          <w:lang w:val="de-DE"/>
        </w:rPr>
        <w:t>*(1+r</w:t>
      </w:r>
      <w:r w:rsidRPr="00320ABB">
        <w:rPr>
          <w:vertAlign w:val="subscript"/>
          <w:lang w:val="de-DE"/>
        </w:rPr>
        <w:t>e</w:t>
      </w:r>
      <w:r w:rsidRPr="00320ABB">
        <w:rPr>
          <w:lang w:val="de-DE"/>
        </w:rPr>
        <w:t>))</w:t>
      </w:r>
    </w:p>
    <w:p w:rsidR="00A93375" w:rsidRDefault="00A93375" w:rsidP="00006915">
      <w:pPr>
        <w:pStyle w:val="BodyText"/>
        <w:numPr>
          <w:ilvl w:val="1"/>
          <w:numId w:val="16"/>
        </w:numPr>
      </w:pPr>
      <w:r>
        <w:t>This is the second term in the equation for P</w:t>
      </w:r>
      <w:r w:rsidRPr="00252B00">
        <w:rPr>
          <w:vertAlign w:val="subscript"/>
        </w:rPr>
        <w:t>0</w:t>
      </w:r>
      <w:r>
        <w:t xml:space="preserve"> in the earnings growth model equation listed at the start of this section.</w:t>
      </w:r>
    </w:p>
    <w:p w:rsidR="00A93375" w:rsidRDefault="00A93375" w:rsidP="00006915">
      <w:pPr>
        <w:pStyle w:val="BodyText"/>
        <w:numPr>
          <w:ilvl w:val="0"/>
          <w:numId w:val="16"/>
        </w:numPr>
      </w:pPr>
      <w:r>
        <w:t>Value added each year beyond the year prior to the explicit forecast horizon gro</w:t>
      </w:r>
      <w:r w:rsidR="00B93DD0">
        <w:t>ws at the perpetual growth rate, which allows us to use the perpetual growth formula.</w:t>
      </w:r>
    </w:p>
    <w:p w:rsidR="00A93375" w:rsidRDefault="00A93375" w:rsidP="00006915">
      <w:pPr>
        <w:pStyle w:val="BodyText"/>
        <w:numPr>
          <w:ilvl w:val="1"/>
          <w:numId w:val="16"/>
        </w:numPr>
      </w:pPr>
      <w:r>
        <w:t xml:space="preserve">For t&gt;1, PV at t=1 of </w:t>
      </w:r>
      <w:r w:rsidRPr="00252B00">
        <w:rPr>
          <w:rFonts w:ascii="Symbol" w:hAnsi="Symbol"/>
        </w:rPr>
        <w:t></w:t>
      </w:r>
      <w:r>
        <w:t>va</w:t>
      </w:r>
      <w:r w:rsidRPr="00252B00">
        <w:rPr>
          <w:vertAlign w:val="subscript"/>
        </w:rPr>
        <w:t>t</w:t>
      </w:r>
      <w:r>
        <w:t xml:space="preserve"> = va</w:t>
      </w:r>
      <w:r w:rsidRPr="00252B00">
        <w:rPr>
          <w:vertAlign w:val="subscript"/>
        </w:rPr>
        <w:t>2</w:t>
      </w:r>
      <w:r>
        <w:t>/(r</w:t>
      </w:r>
      <w:r w:rsidRPr="00252B00">
        <w:rPr>
          <w:vertAlign w:val="subscript"/>
        </w:rPr>
        <w:t>e</w:t>
      </w:r>
      <w:r>
        <w:t>-g)</w:t>
      </w:r>
      <w:r w:rsidR="003269F5">
        <w:t xml:space="preserve"> </w:t>
      </w:r>
      <w:r>
        <w:t>= (e</w:t>
      </w:r>
      <w:r>
        <w:rPr>
          <w:vertAlign w:val="subscript"/>
        </w:rPr>
        <w:t>3</w:t>
      </w:r>
      <w:r>
        <w:t>- e</w:t>
      </w:r>
      <w:r w:rsidRPr="00F1650E">
        <w:rPr>
          <w:vertAlign w:val="subscript"/>
        </w:rPr>
        <w:t>2</w:t>
      </w:r>
      <w:r>
        <w:t xml:space="preserve"> – r</w:t>
      </w:r>
      <w:r w:rsidRPr="00FE337A">
        <w:rPr>
          <w:vertAlign w:val="subscript"/>
        </w:rPr>
        <w:t>e</w:t>
      </w:r>
      <w:r>
        <w:t xml:space="preserve"> (e</w:t>
      </w:r>
      <w:r w:rsidRPr="00F1650E">
        <w:rPr>
          <w:vertAlign w:val="subscript"/>
        </w:rPr>
        <w:t>2</w:t>
      </w:r>
      <w:r>
        <w:t xml:space="preserve"> – d</w:t>
      </w:r>
      <w:r>
        <w:rPr>
          <w:vertAlign w:val="subscript"/>
        </w:rPr>
        <w:t>2</w:t>
      </w:r>
      <w:r>
        <w:t>))/(r</w:t>
      </w:r>
      <w:r w:rsidRPr="00BB78BC">
        <w:rPr>
          <w:vertAlign w:val="subscript"/>
        </w:rPr>
        <w:t>e</w:t>
      </w:r>
      <w:r>
        <w:t xml:space="preserve"> (r</w:t>
      </w:r>
      <w:r w:rsidRPr="00252B00">
        <w:rPr>
          <w:vertAlign w:val="subscript"/>
        </w:rPr>
        <w:t>e</w:t>
      </w:r>
      <w:r>
        <w:t>-g))</w:t>
      </w:r>
    </w:p>
    <w:p w:rsidR="00A93375" w:rsidRDefault="00A93375" w:rsidP="00006915">
      <w:pPr>
        <w:pStyle w:val="BodyText"/>
        <w:numPr>
          <w:ilvl w:val="0"/>
          <w:numId w:val="16"/>
        </w:numPr>
      </w:pPr>
      <w:r>
        <w:t xml:space="preserve">Since the </w:t>
      </w:r>
      <w:r w:rsidR="00FD4CB4">
        <w:t>p</w:t>
      </w:r>
      <w:r w:rsidR="00B93DD0">
        <w:t>erpetual growth</w:t>
      </w:r>
      <w:r>
        <w:t xml:space="preserve"> formula gives us value at the end of the year prior to the terminal growth year, we have to compute its present value.</w:t>
      </w:r>
    </w:p>
    <w:p w:rsidR="00A93375" w:rsidRPr="00320ABB" w:rsidRDefault="00A93375" w:rsidP="00006915">
      <w:pPr>
        <w:pStyle w:val="BodyText"/>
        <w:numPr>
          <w:ilvl w:val="1"/>
          <w:numId w:val="16"/>
        </w:numPr>
        <w:rPr>
          <w:lang w:val="de-DE"/>
        </w:rPr>
      </w:pPr>
      <w:r w:rsidRPr="00320ABB">
        <w:rPr>
          <w:lang w:val="de-DE"/>
        </w:rPr>
        <w:t>(e</w:t>
      </w:r>
      <w:r w:rsidRPr="00320ABB">
        <w:rPr>
          <w:vertAlign w:val="subscript"/>
          <w:lang w:val="de-DE"/>
        </w:rPr>
        <w:t>3</w:t>
      </w:r>
      <w:r w:rsidRPr="00320ABB">
        <w:rPr>
          <w:lang w:val="de-DE"/>
        </w:rPr>
        <w:t>- e</w:t>
      </w:r>
      <w:r w:rsidRPr="00320ABB">
        <w:rPr>
          <w:vertAlign w:val="subscript"/>
          <w:lang w:val="de-DE"/>
        </w:rPr>
        <w:t>2</w:t>
      </w:r>
      <w:r w:rsidRPr="00320ABB">
        <w:rPr>
          <w:lang w:val="de-DE"/>
        </w:rPr>
        <w:t xml:space="preserve"> – r</w:t>
      </w:r>
      <w:r w:rsidRPr="00320ABB">
        <w:rPr>
          <w:vertAlign w:val="subscript"/>
          <w:lang w:val="de-DE"/>
        </w:rPr>
        <w:t>e</w:t>
      </w:r>
      <w:r w:rsidRPr="00320ABB">
        <w:rPr>
          <w:lang w:val="de-DE"/>
        </w:rPr>
        <w:t xml:space="preserve"> (e</w:t>
      </w:r>
      <w:r w:rsidRPr="00320ABB">
        <w:rPr>
          <w:vertAlign w:val="subscript"/>
          <w:lang w:val="de-DE"/>
        </w:rPr>
        <w:t>2</w:t>
      </w:r>
      <w:r w:rsidRPr="00320ABB">
        <w:rPr>
          <w:lang w:val="de-DE"/>
        </w:rPr>
        <w:t xml:space="preserve"> – d</w:t>
      </w:r>
      <w:r w:rsidRPr="00320ABB">
        <w:rPr>
          <w:vertAlign w:val="subscript"/>
          <w:lang w:val="de-DE"/>
        </w:rPr>
        <w:t>2</w:t>
      </w:r>
      <w:r w:rsidRPr="00320ABB">
        <w:rPr>
          <w:lang w:val="de-DE"/>
        </w:rPr>
        <w:t>))/(r</w:t>
      </w:r>
      <w:r w:rsidRPr="00320ABB">
        <w:rPr>
          <w:vertAlign w:val="subscript"/>
          <w:lang w:val="de-DE"/>
        </w:rPr>
        <w:t>e</w:t>
      </w:r>
      <w:r w:rsidRPr="00320ABB">
        <w:rPr>
          <w:lang w:val="de-DE"/>
        </w:rPr>
        <w:t xml:space="preserve"> (r</w:t>
      </w:r>
      <w:r w:rsidRPr="00320ABB">
        <w:rPr>
          <w:vertAlign w:val="subscript"/>
          <w:lang w:val="de-DE"/>
        </w:rPr>
        <w:t>e</w:t>
      </w:r>
      <w:r w:rsidRPr="00320ABB">
        <w:rPr>
          <w:lang w:val="de-DE"/>
        </w:rPr>
        <w:t>-g) (1+ r</w:t>
      </w:r>
      <w:r w:rsidRPr="00320ABB">
        <w:rPr>
          <w:vertAlign w:val="subscript"/>
          <w:lang w:val="de-DE"/>
        </w:rPr>
        <w:t>e</w:t>
      </w:r>
      <w:r w:rsidRPr="00320ABB">
        <w:rPr>
          <w:lang w:val="de-DE"/>
        </w:rPr>
        <w:t>))</w:t>
      </w:r>
    </w:p>
    <w:p w:rsidR="00A93375" w:rsidRPr="00C3548A" w:rsidRDefault="00A93375" w:rsidP="00A93375">
      <w:pPr>
        <w:rPr>
          <w:rStyle w:val="Emphasize"/>
        </w:rPr>
      </w:pPr>
      <w:r w:rsidRPr="00C3548A">
        <w:rPr>
          <w:rStyle w:val="Emphasize"/>
        </w:rPr>
        <w:t>End of section that can be skipped.</w:t>
      </w:r>
    </w:p>
    <w:p w:rsidR="00A93375" w:rsidRPr="00A93375" w:rsidRDefault="00A93375" w:rsidP="00A93375"/>
    <w:p w:rsidR="0023490B" w:rsidRDefault="00155E80" w:rsidP="00006915">
      <w:pPr>
        <w:pStyle w:val="BodyText"/>
        <w:numPr>
          <w:ilvl w:val="0"/>
          <w:numId w:val="16"/>
        </w:numPr>
      </w:pPr>
      <w:r>
        <w:t>Anchor: Capitalized</w:t>
      </w:r>
      <w:r w:rsidR="00EC48FE">
        <w:t xml:space="preserve"> forthcoming earnings</w:t>
      </w:r>
    </w:p>
    <w:p w:rsidR="00DB1616" w:rsidRDefault="0023490B" w:rsidP="00006915">
      <w:pPr>
        <w:pStyle w:val="BodyText"/>
        <w:numPr>
          <w:ilvl w:val="0"/>
          <w:numId w:val="16"/>
        </w:numPr>
      </w:pPr>
      <w:r>
        <w:t xml:space="preserve">Until horizon: </w:t>
      </w:r>
      <w:r w:rsidR="00DB1616">
        <w:t xml:space="preserve">PV of value added each year from a </w:t>
      </w:r>
      <w:r w:rsidR="00270963">
        <w:t>residual</w:t>
      </w:r>
      <w:r w:rsidR="00DB1616">
        <w:t xml:space="preserve"> change in earnings.</w:t>
      </w:r>
    </w:p>
    <w:p w:rsidR="00DB1616" w:rsidRDefault="00DB1616" w:rsidP="00006915">
      <w:pPr>
        <w:pStyle w:val="BodyText"/>
        <w:numPr>
          <w:ilvl w:val="0"/>
          <w:numId w:val="16"/>
        </w:numPr>
      </w:pPr>
      <w:r>
        <w:t xml:space="preserve">Beyond the forecast horizon: This the present value of value </w:t>
      </w:r>
      <w:r w:rsidR="006E2615">
        <w:t>attributed</w:t>
      </w:r>
      <w:r>
        <w:t xml:space="preserve"> to </w:t>
      </w:r>
      <w:r w:rsidR="00270963">
        <w:t>residual</w:t>
      </w:r>
      <w:r>
        <w:t xml:space="preserve"> </w:t>
      </w:r>
      <w:r w:rsidR="006C425F">
        <w:t xml:space="preserve">change in </w:t>
      </w:r>
      <w:r>
        <w:t>earnings beyond the explicit forecast horizon.</w:t>
      </w:r>
    </w:p>
    <w:p w:rsidR="00DB1616" w:rsidRDefault="00DB1616" w:rsidP="00006915">
      <w:pPr>
        <w:pStyle w:val="BodyText"/>
        <w:numPr>
          <w:ilvl w:val="0"/>
          <w:numId w:val="16"/>
        </w:numPr>
      </w:pPr>
      <w:r>
        <w:t>Total value = Sum of the three components listed above.</w:t>
      </w:r>
      <w:r w:rsidR="00D62614">
        <w:t xml:space="preserve"> </w:t>
      </w:r>
      <w:r>
        <w:t>The percentage of total value derived from each component is shown next to the component.</w:t>
      </w:r>
    </w:p>
    <w:p w:rsidR="0047503D" w:rsidRDefault="0047503D" w:rsidP="00F64F3A">
      <w:pPr>
        <w:pStyle w:val="BodyText"/>
        <w:numPr>
          <w:ilvl w:val="1"/>
          <w:numId w:val="16"/>
        </w:numPr>
      </w:pPr>
      <w:r>
        <w:t xml:space="preserve">For “growth stocks,” the anchor value accounts for less than </w:t>
      </w:r>
      <w:r w:rsidR="00F64F3A">
        <w:t xml:space="preserve">66% of </w:t>
      </w:r>
      <w:r>
        <w:t>the total value.</w:t>
      </w:r>
    </w:p>
    <w:p w:rsidR="00F64F3A" w:rsidRDefault="001560EE" w:rsidP="00AF50AE">
      <w:pPr>
        <w:pStyle w:val="ListParagraph"/>
        <w:numPr>
          <w:ilvl w:val="1"/>
          <w:numId w:val="16"/>
        </w:numPr>
      </w:pPr>
      <w:r>
        <w:t>For “mature stocks,” the anchor value accounts for more than 80% of the total value.</w:t>
      </w:r>
    </w:p>
    <w:p w:rsidR="00DB1616" w:rsidRDefault="000A44EF" w:rsidP="000A44EF">
      <w:pPr>
        <w:pStyle w:val="Heading2"/>
      </w:pPr>
      <w:r>
        <w:t>Valuation ratios</w:t>
      </w:r>
    </w:p>
    <w:p w:rsidR="006C425F" w:rsidRDefault="006C425F" w:rsidP="00006915">
      <w:pPr>
        <w:pStyle w:val="BodyText"/>
        <w:numPr>
          <w:ilvl w:val="0"/>
          <w:numId w:val="16"/>
        </w:numPr>
      </w:pPr>
      <w:r>
        <w:t>Dividend yield = Forthcoming dividends/Current stock price</w:t>
      </w:r>
      <w:r w:rsidR="00710884">
        <w:t xml:space="preserve"> = d</w:t>
      </w:r>
      <w:r w:rsidR="00710884" w:rsidRPr="00710884">
        <w:rPr>
          <w:vertAlign w:val="subscript"/>
        </w:rPr>
        <w:t>1</w:t>
      </w:r>
      <w:r w:rsidR="00710884">
        <w:t>/P</w:t>
      </w:r>
      <w:r w:rsidR="00710884" w:rsidRPr="00710884">
        <w:rPr>
          <w:vertAlign w:val="subscript"/>
        </w:rPr>
        <w:t>0</w:t>
      </w:r>
    </w:p>
    <w:p w:rsidR="00F64F3A" w:rsidRDefault="00F64F3A" w:rsidP="00F64F3A">
      <w:pPr>
        <w:pStyle w:val="BodyText"/>
        <w:numPr>
          <w:ilvl w:val="1"/>
          <w:numId w:val="16"/>
        </w:numPr>
      </w:pPr>
      <w:r>
        <w:t>A crude average is 2.5%.</w:t>
      </w:r>
    </w:p>
    <w:p w:rsidR="006C425F" w:rsidRDefault="006C425F" w:rsidP="00006915">
      <w:pPr>
        <w:pStyle w:val="BodyText"/>
        <w:numPr>
          <w:ilvl w:val="0"/>
          <w:numId w:val="16"/>
        </w:numPr>
      </w:pPr>
      <w:r>
        <w:t>P/B ratio = Current stock price/current book value per share</w:t>
      </w:r>
      <w:r w:rsidR="00710884">
        <w:t xml:space="preserve"> = P</w:t>
      </w:r>
      <w:r w:rsidR="00710884" w:rsidRPr="00710884">
        <w:rPr>
          <w:vertAlign w:val="subscript"/>
        </w:rPr>
        <w:t>0</w:t>
      </w:r>
      <w:r w:rsidR="00710884">
        <w:t>/b</w:t>
      </w:r>
      <w:r w:rsidR="00710884" w:rsidRPr="00710884">
        <w:rPr>
          <w:vertAlign w:val="subscript"/>
        </w:rPr>
        <w:t>0</w:t>
      </w:r>
    </w:p>
    <w:p w:rsidR="00F64F3A" w:rsidRDefault="00F64F3A" w:rsidP="00F64F3A">
      <w:pPr>
        <w:pStyle w:val="BodyText"/>
        <w:numPr>
          <w:ilvl w:val="1"/>
          <w:numId w:val="16"/>
        </w:numPr>
      </w:pPr>
      <w:r>
        <w:t>A crude average is in the range of 1.5 to 2.5</w:t>
      </w:r>
    </w:p>
    <w:p w:rsidR="006C425F" w:rsidRDefault="006C425F" w:rsidP="00006915">
      <w:pPr>
        <w:pStyle w:val="BodyText"/>
        <w:numPr>
          <w:ilvl w:val="0"/>
          <w:numId w:val="16"/>
        </w:numPr>
      </w:pPr>
      <w:r>
        <w:t>Forward P/E ratio = Current stock price</w:t>
      </w:r>
      <w:r w:rsidR="00710884">
        <w:t>/</w:t>
      </w:r>
      <w:r w:rsidR="00710884" w:rsidRPr="00710884">
        <w:t xml:space="preserve"> </w:t>
      </w:r>
      <w:r w:rsidR="00710884">
        <w:t>Forthcoming earnings = P</w:t>
      </w:r>
      <w:r w:rsidR="00710884" w:rsidRPr="00710884">
        <w:rPr>
          <w:vertAlign w:val="subscript"/>
        </w:rPr>
        <w:t>0</w:t>
      </w:r>
      <w:r w:rsidR="00710884">
        <w:t>/e</w:t>
      </w:r>
      <w:r w:rsidR="00710884" w:rsidRPr="00710884">
        <w:rPr>
          <w:vertAlign w:val="subscript"/>
        </w:rPr>
        <w:t>1</w:t>
      </w:r>
    </w:p>
    <w:p w:rsidR="00F64F3A" w:rsidRDefault="00F64F3A" w:rsidP="00F64F3A">
      <w:pPr>
        <w:pStyle w:val="BodyText"/>
        <w:numPr>
          <w:ilvl w:val="1"/>
          <w:numId w:val="16"/>
        </w:numPr>
      </w:pPr>
      <w:r>
        <w:t>A very crude average is in the range of 12 to 15.</w:t>
      </w:r>
    </w:p>
    <w:p w:rsidR="006C425F" w:rsidRDefault="006C425F" w:rsidP="00006915">
      <w:pPr>
        <w:pStyle w:val="BodyText"/>
        <w:numPr>
          <w:ilvl w:val="0"/>
          <w:numId w:val="16"/>
        </w:numPr>
      </w:pPr>
      <w:r>
        <w:t>Forward ROE = Forthcoming earnings/Current book value</w:t>
      </w:r>
      <w:r w:rsidR="00C433FB">
        <w:t xml:space="preserve"> = e</w:t>
      </w:r>
      <w:r w:rsidR="00C433FB" w:rsidRPr="00C433FB">
        <w:rPr>
          <w:vertAlign w:val="subscript"/>
        </w:rPr>
        <w:t>1</w:t>
      </w:r>
      <w:r w:rsidR="00C433FB">
        <w:t>/b</w:t>
      </w:r>
      <w:r w:rsidR="00C433FB" w:rsidRPr="00C433FB">
        <w:rPr>
          <w:vertAlign w:val="subscript"/>
        </w:rPr>
        <w:t>0</w:t>
      </w:r>
    </w:p>
    <w:p w:rsidR="006C425F" w:rsidRDefault="006C425F" w:rsidP="00006915">
      <w:pPr>
        <w:pStyle w:val="BodyText"/>
        <w:numPr>
          <w:ilvl w:val="0"/>
          <w:numId w:val="16"/>
        </w:numPr>
      </w:pPr>
      <w:r>
        <w:t>Check: P/B - P/E * ROE = 0</w:t>
      </w:r>
    </w:p>
    <w:p w:rsidR="00D471F8" w:rsidRDefault="00D471F8" w:rsidP="00D471F8">
      <w:pPr>
        <w:pStyle w:val="Heading2"/>
      </w:pPr>
      <w:r>
        <w:t xml:space="preserve">Inferring cost of capital </w:t>
      </w:r>
      <w:r w:rsidR="00561508">
        <w:t xml:space="preserve">or growth </w:t>
      </w:r>
      <w:r>
        <w:t>from price</w:t>
      </w:r>
    </w:p>
    <w:p w:rsidR="00D471F8" w:rsidRDefault="00D471F8" w:rsidP="00006915">
      <w:pPr>
        <w:pStyle w:val="BodyText"/>
        <w:numPr>
          <w:ilvl w:val="0"/>
          <w:numId w:val="16"/>
        </w:numPr>
      </w:pPr>
      <w:r>
        <w:t>Input: Current stock price</w:t>
      </w:r>
    </w:p>
    <w:p w:rsidR="00D471F8" w:rsidRDefault="00D471F8" w:rsidP="00006915">
      <w:pPr>
        <w:pStyle w:val="BodyText"/>
        <w:numPr>
          <w:ilvl w:val="0"/>
          <w:numId w:val="16"/>
        </w:numPr>
      </w:pPr>
      <w:r>
        <w:t>Difference between the stock price given and PV calculated using any one of the models</w:t>
      </w:r>
      <w:r w:rsidR="0031251A">
        <w:t>.</w:t>
      </w:r>
    </w:p>
    <w:p w:rsidR="007450F6" w:rsidRDefault="00D471F8" w:rsidP="00006915">
      <w:pPr>
        <w:pStyle w:val="BodyText"/>
        <w:numPr>
          <w:ilvl w:val="0"/>
          <w:numId w:val="16"/>
        </w:numPr>
      </w:pPr>
      <w:r>
        <w:t xml:space="preserve">Infer cost of equity: </w:t>
      </w:r>
      <w:r w:rsidR="006E2615">
        <w:t>The macro embedded in the button “g</w:t>
      </w:r>
      <w:r>
        <w:t>oal seek</w:t>
      </w:r>
      <w:r w:rsidR="006E2615">
        <w:t>s”</w:t>
      </w:r>
      <w:r>
        <w:t xml:space="preserve"> cost of equity until the difference equals zero. </w:t>
      </w:r>
      <w:r w:rsidR="00AA6E2D">
        <w:t xml:space="preserve">First, choose from the drop down box, and </w:t>
      </w:r>
      <w:r w:rsidR="005549AA">
        <w:t>then click “Infer”.</w:t>
      </w:r>
    </w:p>
    <w:p w:rsidR="005549AA" w:rsidRDefault="005549AA" w:rsidP="00006915">
      <w:pPr>
        <w:pStyle w:val="BodyText"/>
        <w:numPr>
          <w:ilvl w:val="0"/>
          <w:numId w:val="16"/>
        </w:numPr>
      </w:pPr>
      <w:r>
        <w:t xml:space="preserve">Infer perpetual growth rate: </w:t>
      </w:r>
      <w:r w:rsidR="006E2615">
        <w:t>The macro embedded in the button “goal seeks” perpetual growth rate until the difference equals zero. First, choose from the drop down box, and then click “Infer”.</w:t>
      </w:r>
    </w:p>
    <w:p w:rsidR="009D6793" w:rsidRDefault="00F11899" w:rsidP="009D6793">
      <w:pPr>
        <w:pStyle w:val="BodyText"/>
        <w:numPr>
          <w:ilvl w:val="0"/>
          <w:numId w:val="16"/>
        </w:numPr>
      </w:pPr>
      <w:r>
        <w:t>This line shows the outcome of the choice made in the previous two steps.</w:t>
      </w:r>
    </w:p>
    <w:p w:rsidR="00C412C9" w:rsidRDefault="00C412C9" w:rsidP="00C412C9">
      <w:pPr>
        <w:pStyle w:val="Heading1"/>
      </w:pPr>
      <w:r>
        <w:t>Questions addressed by the spreadsheet: Summary</w:t>
      </w:r>
    </w:p>
    <w:p w:rsidR="00C412C9" w:rsidRDefault="00C412C9" w:rsidP="00C412C9">
      <w:pPr>
        <w:pStyle w:val="BodyText"/>
      </w:pPr>
      <w:r>
        <w:t xml:space="preserve">One of first steps in fundamental analysis is understanding how market perceptions of the company’s future translate into its market value. Market perceptions are often summarized by analyst forecasts. Publicly available analyst forecasts are for bottom-line EPS forecasts rather than line items. Therefore, one needs a parsimonious approach that connects bottom-line forecasts to equity value. </w:t>
      </w:r>
    </w:p>
    <w:p w:rsidR="00C412C9" w:rsidRDefault="00C412C9" w:rsidP="00C412C9">
      <w:pPr>
        <w:pStyle w:val="BodyText"/>
      </w:pPr>
      <w:r>
        <w:t xml:space="preserve">The next step in fundamental analysis is relative valuation. One wants to compare key relative valuation metrics for the company with its peers. Prominent relative valuation metrics are the forward P/E ratio, the market-to-book ratio, and the dividend yield. </w:t>
      </w:r>
    </w:p>
    <w:p w:rsidR="00C412C9" w:rsidRDefault="00C412C9" w:rsidP="00C412C9">
      <w:pPr>
        <w:pStyle w:val="BodyText"/>
      </w:pPr>
      <w:r>
        <w:t>This spreadsheet presents parsimonious models that connect equity value to analyst forecasts as well as help us understand drivers of relative valuation. Key questions addressed here are as follows:</w:t>
      </w:r>
    </w:p>
    <w:p w:rsidR="00C412C9" w:rsidRDefault="00C412C9" w:rsidP="00C412C9">
      <w:pPr>
        <w:pStyle w:val="BodyText"/>
        <w:numPr>
          <w:ilvl w:val="0"/>
          <w:numId w:val="15"/>
        </w:numPr>
      </w:pPr>
      <w:r>
        <w:t>Given analyst forecasts of near term EPS and dividend payout, what is the stock’s intrinsic value?</w:t>
      </w:r>
    </w:p>
    <w:p w:rsidR="00C412C9" w:rsidRDefault="00C412C9" w:rsidP="00C412C9">
      <w:pPr>
        <w:pStyle w:val="BodyText"/>
        <w:numPr>
          <w:ilvl w:val="0"/>
          <w:numId w:val="15"/>
        </w:numPr>
      </w:pPr>
      <w:r>
        <w:t xml:space="preserve">How are </w:t>
      </w:r>
      <w:r w:rsidR="00930F43">
        <w:t xml:space="preserve">the </w:t>
      </w:r>
      <w:r w:rsidR="00B40EF4">
        <w:t>cost of</w:t>
      </w:r>
      <w:r>
        <w:t xml:space="preserve"> equity and growth affecting the relative valuation metrics?</w:t>
      </w:r>
    </w:p>
    <w:p w:rsidR="00C412C9" w:rsidRDefault="00C412C9" w:rsidP="00C412C9">
      <w:pPr>
        <w:pStyle w:val="BodyText"/>
        <w:numPr>
          <w:ilvl w:val="0"/>
          <w:numId w:val="15"/>
        </w:numPr>
      </w:pPr>
      <w:r>
        <w:t>If the intrinsic value differs from market value, to what extent is this due to the market using a different cost of equity or perpetual growth rate?</w:t>
      </w:r>
    </w:p>
    <w:p w:rsidR="007D5E17" w:rsidRDefault="007D5E17" w:rsidP="00C412C9">
      <w:pPr>
        <w:pStyle w:val="BodyText"/>
        <w:numPr>
          <w:ilvl w:val="0"/>
          <w:numId w:val="15"/>
        </w:numPr>
      </w:pPr>
      <w:r>
        <w:t>Is the stock a growth stock?</w:t>
      </w:r>
    </w:p>
    <w:p w:rsidR="008433FC" w:rsidRPr="007450F6" w:rsidRDefault="008433FC" w:rsidP="008433FC">
      <w:pPr>
        <w:pStyle w:val="BodyText"/>
        <w:ind w:left="504"/>
      </w:pPr>
    </w:p>
    <w:sectPr w:rsidR="008433FC" w:rsidRPr="007450F6" w:rsidSect="00465A1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EBC" w:rsidRDefault="00F50EBC">
      <w:r>
        <w:separator/>
      </w:r>
    </w:p>
  </w:endnote>
  <w:endnote w:type="continuationSeparator" w:id="0">
    <w:p w:rsidR="00F50EBC" w:rsidRDefault="00F5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A10" w:rsidRDefault="00BC2A10" w:rsidP="00FD3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2A10" w:rsidRDefault="00BC2A10" w:rsidP="00FD3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A10" w:rsidRPr="00D531E7" w:rsidRDefault="00BC2A10" w:rsidP="00581BEC">
    <w:pPr>
      <w:pStyle w:val="Footer"/>
      <w:tabs>
        <w:tab w:val="clear" w:pos="4320"/>
      </w:tabs>
    </w:pPr>
    <w:r>
      <w:fldChar w:fldCharType="begin"/>
    </w:r>
    <w:r>
      <w:instrText xml:space="preserve"> DATE \@ "MMMM d, yyyy" </w:instrText>
    </w:r>
    <w:r>
      <w:fldChar w:fldCharType="separate"/>
    </w:r>
    <w:r w:rsidR="002B0739">
      <w:rPr>
        <w:noProof/>
      </w:rPr>
      <w:t>September 3, 2016</w:t>
    </w:r>
    <w:r>
      <w:fldChar w:fldCharType="end"/>
    </w:r>
    <w:r>
      <w:t xml:space="preserve"> Visit </w:t>
    </w:r>
    <w:hyperlink r:id="rId1" w:history="1">
      <w:r w:rsidRPr="00744C6D">
        <w:rPr>
          <w:rStyle w:val="Hyperlink"/>
        </w:rPr>
        <w:t>http://www.godeohlson.com/</w:t>
      </w:r>
    </w:hyperlink>
    <w:r>
      <w:t xml:space="preserve"> for updates.</w:t>
    </w:r>
    <w:r>
      <w:tab/>
    </w:r>
    <w:r>
      <w:fldChar w:fldCharType="begin"/>
    </w:r>
    <w:r>
      <w:instrText xml:space="preserve"> PAGE </w:instrText>
    </w:r>
    <w:r>
      <w:fldChar w:fldCharType="separate"/>
    </w:r>
    <w:r w:rsidR="002B073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EBC" w:rsidRDefault="00F50EBC">
      <w:r>
        <w:separator/>
      </w:r>
    </w:p>
  </w:footnote>
  <w:footnote w:type="continuationSeparator" w:id="0">
    <w:p w:rsidR="00F50EBC" w:rsidRDefault="00F50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A10" w:rsidRDefault="00BC2A10" w:rsidP="00DF36A3">
    <w:pPr>
      <w:pStyle w:val="Header"/>
      <w:tabs>
        <w:tab w:val="clear" w:pos="4320"/>
      </w:tabs>
    </w:pPr>
    <w:r w:rsidRPr="00693DA0">
      <w:t>Valuation</w:t>
    </w:r>
    <w:r>
      <w:t>: Dividends, Book Values, and Earnings</w:t>
    </w:r>
    <w:r>
      <w:tab/>
    </w:r>
    <w:r>
      <w:rPr>
        <w:rStyle w:val="PageNumber"/>
      </w:rPr>
      <w:fldChar w:fldCharType="begin"/>
    </w:r>
    <w:r>
      <w:rPr>
        <w:rStyle w:val="PageNumber"/>
      </w:rPr>
      <w:instrText xml:space="preserve"> PAGE </w:instrText>
    </w:r>
    <w:r>
      <w:rPr>
        <w:rStyle w:val="PageNumber"/>
      </w:rPr>
      <w:fldChar w:fldCharType="separate"/>
    </w:r>
    <w:r w:rsidR="002B0739">
      <w:rPr>
        <w:rStyle w:val="PageNumber"/>
        <w:noProof/>
      </w:rPr>
      <w:t>1</w:t>
    </w:r>
    <w:r>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55D"/>
    <w:multiLevelType w:val="multilevel"/>
    <w:tmpl w:val="8728A3A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 w15:restartNumberingAfterBreak="0">
    <w:nsid w:val="09B34A78"/>
    <w:multiLevelType w:val="multilevel"/>
    <w:tmpl w:val="9A4CBF2E"/>
    <w:styleLink w:val="ListOutlineChar"/>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A6D07FD"/>
    <w:multiLevelType w:val="multilevel"/>
    <w:tmpl w:val="95D6D198"/>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3" w15:restartNumberingAfterBreak="0">
    <w:nsid w:val="207F64A6"/>
    <w:multiLevelType w:val="hybridMultilevel"/>
    <w:tmpl w:val="EFA2E2FA"/>
    <w:lvl w:ilvl="0" w:tplc="49C8F9BC">
      <w:start w:val="1"/>
      <w:numFmt w:val="bullet"/>
      <w:pStyle w:val="Indentedlist"/>
      <w:lvlText w:val=""/>
      <w:lvlJc w:val="left"/>
      <w:pPr>
        <w:tabs>
          <w:tab w:val="num" w:pos="1008"/>
        </w:tabs>
        <w:ind w:left="1008"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E08DB"/>
    <w:multiLevelType w:val="multilevel"/>
    <w:tmpl w:val="E30E3590"/>
    <w:numStyleLink w:val="ListOutlineNumbered"/>
  </w:abstractNum>
  <w:abstractNum w:abstractNumId="5" w15:restartNumberingAfterBreak="0">
    <w:nsid w:val="2A4B3862"/>
    <w:multiLevelType w:val="multilevel"/>
    <w:tmpl w:val="E30E3590"/>
    <w:numStyleLink w:val="ListOutlineNumbered"/>
  </w:abstractNum>
  <w:abstractNum w:abstractNumId="6" w15:restartNumberingAfterBreak="0">
    <w:nsid w:val="2B0F0EF9"/>
    <w:multiLevelType w:val="multilevel"/>
    <w:tmpl w:val="0ADC1FC8"/>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F1B5E11"/>
    <w:multiLevelType w:val="multilevel"/>
    <w:tmpl w:val="29529492"/>
    <w:numStyleLink w:val="ListBulleted"/>
  </w:abstractNum>
  <w:abstractNum w:abstractNumId="8" w15:restartNumberingAfterBreak="0">
    <w:nsid w:val="2F866A96"/>
    <w:multiLevelType w:val="multilevel"/>
    <w:tmpl w:val="E24C27B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9" w15:restartNumberingAfterBreak="0">
    <w:nsid w:val="378A61FE"/>
    <w:multiLevelType w:val="multilevel"/>
    <w:tmpl w:val="E30E3590"/>
    <w:styleLink w:val="List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800"/>
        </w:tabs>
        <w:ind w:left="1800" w:hanging="792"/>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8A3413"/>
    <w:multiLevelType w:val="hybridMultilevel"/>
    <w:tmpl w:val="73B0B4EA"/>
    <w:lvl w:ilvl="0" w:tplc="21D65D86">
      <w:start w:val="1"/>
      <w:numFmt w:val="bullet"/>
      <w:pStyle w:val="Lis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132E1"/>
    <w:multiLevelType w:val="multilevel"/>
    <w:tmpl w:val="0228F732"/>
    <w:styleLink w:val="ListMultiple-choiceChar"/>
    <w:lvl w:ilvl="0">
      <w:start w:val="1"/>
      <w:numFmt w:val="lowerLetter"/>
      <w:lvlText w:val="%1."/>
      <w:lvlJc w:val="left"/>
      <w:pPr>
        <w:tabs>
          <w:tab w:val="num" w:pos="1008"/>
        </w:tabs>
        <w:ind w:left="1008" w:hanging="504"/>
      </w:pPr>
      <w:rPr>
        <w:rFonts w:hint="default"/>
      </w:rPr>
    </w:lvl>
    <w:lvl w:ilvl="1">
      <w:start w:val="1"/>
      <w:numFmt w:val="upperLetter"/>
      <w:lvlText w:val="%2."/>
      <w:lvlJc w:val="left"/>
      <w:pPr>
        <w:tabs>
          <w:tab w:val="num" w:pos="1584"/>
        </w:tabs>
        <w:ind w:left="1224" w:firstLine="0"/>
      </w:pPr>
      <w:rPr>
        <w:rFonts w:hint="default"/>
      </w:rPr>
    </w:lvl>
    <w:lvl w:ilvl="2">
      <w:start w:val="1"/>
      <w:numFmt w:val="decimal"/>
      <w:lvlText w:val="%3."/>
      <w:lvlJc w:val="left"/>
      <w:pPr>
        <w:tabs>
          <w:tab w:val="num" w:pos="2304"/>
        </w:tabs>
        <w:ind w:left="1944" w:firstLine="0"/>
      </w:pPr>
      <w:rPr>
        <w:rFonts w:hint="default"/>
      </w:rPr>
    </w:lvl>
    <w:lvl w:ilvl="3">
      <w:start w:val="1"/>
      <w:numFmt w:val="lowerLetter"/>
      <w:lvlText w:val="%4)"/>
      <w:lvlJc w:val="left"/>
      <w:pPr>
        <w:tabs>
          <w:tab w:val="num" w:pos="3024"/>
        </w:tabs>
        <w:ind w:left="2664" w:firstLine="0"/>
      </w:pPr>
      <w:rPr>
        <w:rFonts w:hint="default"/>
      </w:rPr>
    </w:lvl>
    <w:lvl w:ilvl="4">
      <w:start w:val="1"/>
      <w:numFmt w:val="decimal"/>
      <w:lvlText w:val="(%5)"/>
      <w:lvlJc w:val="left"/>
      <w:pPr>
        <w:tabs>
          <w:tab w:val="num" w:pos="3744"/>
        </w:tabs>
        <w:ind w:left="3384" w:firstLine="0"/>
      </w:pPr>
      <w:rPr>
        <w:rFonts w:hint="default"/>
      </w:rPr>
    </w:lvl>
    <w:lvl w:ilvl="5">
      <w:start w:val="1"/>
      <w:numFmt w:val="lowerLetter"/>
      <w:lvlText w:val="(%6)"/>
      <w:lvlJc w:val="left"/>
      <w:pPr>
        <w:tabs>
          <w:tab w:val="num" w:pos="4464"/>
        </w:tabs>
        <w:ind w:left="4104" w:firstLine="0"/>
      </w:pPr>
      <w:rPr>
        <w:rFonts w:hint="default"/>
      </w:rPr>
    </w:lvl>
    <w:lvl w:ilvl="6">
      <w:start w:val="1"/>
      <w:numFmt w:val="lowerRoman"/>
      <w:lvlText w:val="(%7)"/>
      <w:lvlJc w:val="left"/>
      <w:pPr>
        <w:tabs>
          <w:tab w:val="num" w:pos="5184"/>
        </w:tabs>
        <w:ind w:left="4824" w:firstLine="0"/>
      </w:pPr>
      <w:rPr>
        <w:rFonts w:hint="default"/>
      </w:rPr>
    </w:lvl>
    <w:lvl w:ilvl="7">
      <w:start w:val="1"/>
      <w:numFmt w:val="lowerLetter"/>
      <w:lvlText w:val="(%8)"/>
      <w:lvlJc w:val="left"/>
      <w:pPr>
        <w:tabs>
          <w:tab w:val="num" w:pos="5904"/>
        </w:tabs>
        <w:ind w:left="5544" w:firstLine="0"/>
      </w:pPr>
      <w:rPr>
        <w:rFonts w:hint="default"/>
      </w:rPr>
    </w:lvl>
    <w:lvl w:ilvl="8">
      <w:start w:val="1"/>
      <w:numFmt w:val="lowerRoman"/>
      <w:lvlText w:val="(%9)"/>
      <w:lvlJc w:val="left"/>
      <w:pPr>
        <w:tabs>
          <w:tab w:val="num" w:pos="6624"/>
        </w:tabs>
        <w:ind w:left="6264" w:firstLine="0"/>
      </w:pPr>
      <w:rPr>
        <w:rFonts w:hint="default"/>
      </w:rPr>
    </w:lvl>
  </w:abstractNum>
  <w:abstractNum w:abstractNumId="12" w15:restartNumberingAfterBreak="0">
    <w:nsid w:val="43EF6BB2"/>
    <w:multiLevelType w:val="multilevel"/>
    <w:tmpl w:val="29529492"/>
    <w:numStyleLink w:val="ListBulleted"/>
  </w:abstractNum>
  <w:abstractNum w:abstractNumId="13" w15:restartNumberingAfterBreak="0">
    <w:nsid w:val="452031DB"/>
    <w:multiLevelType w:val="hybridMultilevel"/>
    <w:tmpl w:val="69C87E50"/>
    <w:lvl w:ilvl="0" w:tplc="259E66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05053"/>
    <w:multiLevelType w:val="multilevel"/>
    <w:tmpl w:val="0BDE7F6A"/>
    <w:numStyleLink w:val="StyleOutlinenumbered"/>
  </w:abstractNum>
  <w:abstractNum w:abstractNumId="15" w15:restartNumberingAfterBreak="0">
    <w:nsid w:val="480B7F8F"/>
    <w:multiLevelType w:val="multilevel"/>
    <w:tmpl w:val="29529492"/>
    <w:numStyleLink w:val="ListBulleted"/>
  </w:abstractNum>
  <w:abstractNum w:abstractNumId="16" w15:restartNumberingAfterBreak="0">
    <w:nsid w:val="55DF06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706539E"/>
    <w:multiLevelType w:val="multilevel"/>
    <w:tmpl w:val="E30E3590"/>
    <w:numStyleLink w:val="ListOutlineNumbered"/>
  </w:abstractNum>
  <w:abstractNum w:abstractNumId="18" w15:restartNumberingAfterBreak="0">
    <w:nsid w:val="583D7305"/>
    <w:multiLevelType w:val="multilevel"/>
    <w:tmpl w:val="0BDE7F6A"/>
    <w:numStyleLink w:val="StyleOutlinenumbered"/>
  </w:abstractNum>
  <w:abstractNum w:abstractNumId="19" w15:restartNumberingAfterBreak="0">
    <w:nsid w:val="598A3D4F"/>
    <w:multiLevelType w:val="multilevel"/>
    <w:tmpl w:val="0BDE7F6A"/>
    <w:numStyleLink w:val="StyleOutlinenumbered"/>
  </w:abstractNum>
  <w:abstractNum w:abstractNumId="20" w15:restartNumberingAfterBreak="0">
    <w:nsid w:val="5CD348AF"/>
    <w:multiLevelType w:val="multilevel"/>
    <w:tmpl w:val="29529492"/>
    <w:numStyleLink w:val="ListBulleted"/>
  </w:abstractNum>
  <w:abstractNum w:abstractNumId="21" w15:restartNumberingAfterBreak="0">
    <w:nsid w:val="5D3E60B1"/>
    <w:multiLevelType w:val="multilevel"/>
    <w:tmpl w:val="29529492"/>
    <w:numStyleLink w:val="ListBulleted"/>
  </w:abstractNum>
  <w:abstractNum w:abstractNumId="22" w15:restartNumberingAfterBreak="0">
    <w:nsid w:val="6025499B"/>
    <w:multiLevelType w:val="multilevel"/>
    <w:tmpl w:val="6CB026C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23" w15:restartNumberingAfterBreak="0">
    <w:nsid w:val="658C08DB"/>
    <w:multiLevelType w:val="multilevel"/>
    <w:tmpl w:val="0BDE7F6A"/>
    <w:styleLink w:val="Style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6E070B3"/>
    <w:multiLevelType w:val="multilevel"/>
    <w:tmpl w:val="29529492"/>
    <w:styleLink w:val="ListBulleted"/>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68D048A3"/>
    <w:multiLevelType w:val="multilevel"/>
    <w:tmpl w:val="22883D72"/>
    <w:styleLink w:val="ListBulletedIndented"/>
    <w:lvl w:ilvl="0">
      <w:start w:val="1"/>
      <w:numFmt w:val="bullet"/>
      <w:lvlText w:val=""/>
      <w:lvlJc w:val="left"/>
      <w:pPr>
        <w:tabs>
          <w:tab w:val="num" w:pos="1008"/>
        </w:tabs>
        <w:ind w:left="1008" w:hanging="504"/>
      </w:pPr>
      <w:rPr>
        <w:rFonts w:ascii="Wingdings" w:hAnsi="Wingdings" w:hint="default"/>
      </w:rPr>
    </w:lvl>
    <w:lvl w:ilvl="1">
      <w:start w:val="1"/>
      <w:numFmt w:val="bullet"/>
      <w:lvlText w:val=""/>
      <w:lvlJc w:val="left"/>
      <w:pPr>
        <w:tabs>
          <w:tab w:val="num" w:pos="1512"/>
        </w:tabs>
        <w:ind w:left="1512" w:hanging="504"/>
      </w:pPr>
      <w:rPr>
        <w:rFonts w:ascii="Wingdings" w:hAnsi="Wingdings" w:hint="default"/>
      </w:rPr>
    </w:lvl>
    <w:lvl w:ilvl="2">
      <w:start w:val="1"/>
      <w:numFmt w:val="bullet"/>
      <w:lvlText w:val=""/>
      <w:lvlJc w:val="left"/>
      <w:pPr>
        <w:tabs>
          <w:tab w:val="num" w:pos="2016"/>
        </w:tabs>
        <w:ind w:left="2016" w:hanging="504"/>
      </w:pPr>
      <w:rPr>
        <w:rFonts w:ascii="Wingdings" w:hAnsi="Wingdings" w:hint="default"/>
      </w:rPr>
    </w:lvl>
    <w:lvl w:ilvl="3">
      <w:start w:val="1"/>
      <w:numFmt w:val="bullet"/>
      <w:lvlText w:val=""/>
      <w:lvlJc w:val="left"/>
      <w:pPr>
        <w:tabs>
          <w:tab w:val="num" w:pos="2520"/>
        </w:tabs>
        <w:ind w:left="2520" w:hanging="504"/>
      </w:pPr>
      <w:rPr>
        <w:rFonts w:ascii="Wingdings" w:hAnsi="Wingdings" w:hint="default"/>
      </w:rPr>
    </w:lvl>
    <w:lvl w:ilvl="4">
      <w:start w:val="1"/>
      <w:numFmt w:val="bullet"/>
      <w:lvlText w:val=""/>
      <w:lvlJc w:val="left"/>
      <w:pPr>
        <w:tabs>
          <w:tab w:val="num" w:pos="2304"/>
        </w:tabs>
        <w:ind w:left="2304" w:hanging="360"/>
      </w:pPr>
      <w:rPr>
        <w:rFonts w:ascii="Symbol" w:hAnsi="Symbol" w:hint="default"/>
      </w:rPr>
    </w:lvl>
    <w:lvl w:ilvl="5">
      <w:start w:val="1"/>
      <w:numFmt w:val="bullet"/>
      <w:lvlText w:val=""/>
      <w:lvlJc w:val="left"/>
      <w:pPr>
        <w:tabs>
          <w:tab w:val="num" w:pos="2664"/>
        </w:tabs>
        <w:ind w:left="2664" w:hanging="360"/>
      </w:pPr>
      <w:rPr>
        <w:rFonts w:ascii="Wingdings" w:hAnsi="Wingdings" w:hint="default"/>
      </w:rPr>
    </w:lvl>
    <w:lvl w:ilvl="6">
      <w:start w:val="1"/>
      <w:numFmt w:val="bullet"/>
      <w:lvlText w:val=""/>
      <w:lvlJc w:val="left"/>
      <w:pPr>
        <w:tabs>
          <w:tab w:val="num" w:pos="3024"/>
        </w:tabs>
        <w:ind w:left="3024" w:hanging="360"/>
      </w:pPr>
      <w:rPr>
        <w:rFonts w:ascii="Wingdings" w:hAnsi="Wingdings" w:hint="default"/>
      </w:rPr>
    </w:lvl>
    <w:lvl w:ilvl="7">
      <w:start w:val="1"/>
      <w:numFmt w:val="bullet"/>
      <w:lvlText w:val=""/>
      <w:lvlJc w:val="left"/>
      <w:pPr>
        <w:tabs>
          <w:tab w:val="num" w:pos="3384"/>
        </w:tabs>
        <w:ind w:left="3384" w:hanging="360"/>
      </w:pPr>
      <w:rPr>
        <w:rFonts w:ascii="Symbol" w:hAnsi="Symbol" w:hint="default"/>
      </w:rPr>
    </w:lvl>
    <w:lvl w:ilvl="8">
      <w:start w:val="1"/>
      <w:numFmt w:val="bullet"/>
      <w:lvlText w:val=""/>
      <w:lvlJc w:val="left"/>
      <w:pPr>
        <w:tabs>
          <w:tab w:val="num" w:pos="3744"/>
        </w:tabs>
        <w:ind w:left="3744" w:hanging="360"/>
      </w:pPr>
      <w:rPr>
        <w:rFonts w:ascii="Symbol" w:hAnsi="Symbol" w:hint="default"/>
      </w:rPr>
    </w:lvl>
  </w:abstractNum>
  <w:abstractNum w:abstractNumId="26" w15:restartNumberingAfterBreak="0">
    <w:nsid w:val="6D7E59F0"/>
    <w:multiLevelType w:val="multilevel"/>
    <w:tmpl w:val="50EE0E1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48"/>
        </w:tabs>
        <w:ind w:left="648" w:hanging="648"/>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1DB3044"/>
    <w:multiLevelType w:val="multilevel"/>
    <w:tmpl w:val="9A4CBF2E"/>
    <w:styleLink w:val="StyleCharOutlinenumbered"/>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7204F21"/>
    <w:multiLevelType w:val="multilevel"/>
    <w:tmpl w:val="E30E3590"/>
    <w:numStyleLink w:val="ListOutlineNumbered"/>
  </w:abstractNum>
  <w:abstractNum w:abstractNumId="29" w15:restartNumberingAfterBreak="0">
    <w:nsid w:val="78A35D45"/>
    <w:multiLevelType w:val="multilevel"/>
    <w:tmpl w:val="0BDE7F6A"/>
    <w:numStyleLink w:val="StyleOutlinenumbered"/>
  </w:abstractNum>
  <w:abstractNum w:abstractNumId="30" w15:restartNumberingAfterBreak="0">
    <w:nsid w:val="7C756C4A"/>
    <w:multiLevelType w:val="multilevel"/>
    <w:tmpl w:val="E30E3590"/>
    <w:numStyleLink w:val="ListOutlineNumbered"/>
  </w:abstractNum>
  <w:abstractNum w:abstractNumId="31" w15:restartNumberingAfterBreak="0">
    <w:nsid w:val="7E0024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24"/>
  </w:num>
  <w:num w:numId="3">
    <w:abstractNumId w:val="25"/>
  </w:num>
  <w:num w:numId="4">
    <w:abstractNumId w:val="11"/>
  </w:num>
  <w:num w:numId="5">
    <w:abstractNumId w:val="1"/>
  </w:num>
  <w:num w:numId="6">
    <w:abstractNumId w:val="9"/>
  </w:num>
  <w:num w:numId="7">
    <w:abstractNumId w:val="3"/>
  </w:num>
  <w:num w:numId="8">
    <w:abstractNumId w:val="10"/>
  </w:num>
  <w:num w:numId="9">
    <w:abstractNumId w:val="7"/>
  </w:num>
  <w:num w:numId="10">
    <w:abstractNumId w:val="21"/>
  </w:num>
  <w:num w:numId="11">
    <w:abstractNumId w:val="23"/>
  </w:num>
  <w:num w:numId="12">
    <w:abstractNumId w:val="27"/>
  </w:num>
  <w:num w:numId="13">
    <w:abstractNumId w:val="28"/>
  </w:num>
  <w:num w:numId="14">
    <w:abstractNumId w:val="15"/>
  </w:num>
  <w:num w:numId="15">
    <w:abstractNumId w:val="4"/>
  </w:num>
  <w:num w:numId="16">
    <w:abstractNumId w:val="17"/>
  </w:num>
  <w:num w:numId="17">
    <w:abstractNumId w:val="30"/>
  </w:num>
  <w:num w:numId="18">
    <w:abstractNumId w:val="5"/>
  </w:num>
  <w:num w:numId="19">
    <w:abstractNumId w:val="0"/>
  </w:num>
  <w:num w:numId="20">
    <w:abstractNumId w:val="2"/>
  </w:num>
  <w:num w:numId="21">
    <w:abstractNumId w:val="6"/>
  </w:num>
  <w:num w:numId="22">
    <w:abstractNumId w:val="22"/>
  </w:num>
  <w:num w:numId="23">
    <w:abstractNumId w:val="14"/>
  </w:num>
  <w:num w:numId="24">
    <w:abstractNumId w:val="8"/>
  </w:num>
  <w:num w:numId="25">
    <w:abstractNumId w:val="29"/>
  </w:num>
  <w:num w:numId="26">
    <w:abstractNumId w:val="18"/>
  </w:num>
  <w:num w:numId="27">
    <w:abstractNumId w:val="19"/>
  </w:num>
  <w:num w:numId="28">
    <w:abstractNumId w:val="31"/>
  </w:num>
  <w:num w:numId="29">
    <w:abstractNumId w:val="16"/>
  </w:num>
  <w:num w:numId="30">
    <w:abstractNumId w:val="20"/>
  </w:num>
  <w:num w:numId="31">
    <w:abstractNumId w:val="12"/>
  </w:num>
  <w:num w:numId="3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E6"/>
    <w:rsid w:val="0000340D"/>
    <w:rsid w:val="00003BC4"/>
    <w:rsid w:val="00005936"/>
    <w:rsid w:val="000067C4"/>
    <w:rsid w:val="00006915"/>
    <w:rsid w:val="0001446F"/>
    <w:rsid w:val="000169E9"/>
    <w:rsid w:val="000173E1"/>
    <w:rsid w:val="00022984"/>
    <w:rsid w:val="000327F7"/>
    <w:rsid w:val="00037307"/>
    <w:rsid w:val="000443B8"/>
    <w:rsid w:val="00052819"/>
    <w:rsid w:val="00056B35"/>
    <w:rsid w:val="00057B62"/>
    <w:rsid w:val="00065269"/>
    <w:rsid w:val="00070658"/>
    <w:rsid w:val="000755CB"/>
    <w:rsid w:val="00077BD3"/>
    <w:rsid w:val="00077C33"/>
    <w:rsid w:val="00082EF7"/>
    <w:rsid w:val="0009132D"/>
    <w:rsid w:val="000940B5"/>
    <w:rsid w:val="0009671B"/>
    <w:rsid w:val="000967A5"/>
    <w:rsid w:val="000A05B2"/>
    <w:rsid w:val="000A17AA"/>
    <w:rsid w:val="000A339B"/>
    <w:rsid w:val="000A391E"/>
    <w:rsid w:val="000A44EF"/>
    <w:rsid w:val="000A66A6"/>
    <w:rsid w:val="000B0983"/>
    <w:rsid w:val="000C000A"/>
    <w:rsid w:val="000C1C13"/>
    <w:rsid w:val="000C4988"/>
    <w:rsid w:val="000C5B5C"/>
    <w:rsid w:val="000D0426"/>
    <w:rsid w:val="000D0634"/>
    <w:rsid w:val="000D1F39"/>
    <w:rsid w:val="000D2484"/>
    <w:rsid w:val="000E0884"/>
    <w:rsid w:val="000E439B"/>
    <w:rsid w:val="000E5668"/>
    <w:rsid w:val="000E7385"/>
    <w:rsid w:val="000E74EA"/>
    <w:rsid w:val="000F32AF"/>
    <w:rsid w:val="000F3726"/>
    <w:rsid w:val="000F44D3"/>
    <w:rsid w:val="000F653C"/>
    <w:rsid w:val="000F6C49"/>
    <w:rsid w:val="000F770A"/>
    <w:rsid w:val="00100709"/>
    <w:rsid w:val="00102EF8"/>
    <w:rsid w:val="001074E9"/>
    <w:rsid w:val="00112D0C"/>
    <w:rsid w:val="00113DE9"/>
    <w:rsid w:val="00114646"/>
    <w:rsid w:val="001159EA"/>
    <w:rsid w:val="00123995"/>
    <w:rsid w:val="00124E51"/>
    <w:rsid w:val="00127E78"/>
    <w:rsid w:val="00136E9C"/>
    <w:rsid w:val="00141FB3"/>
    <w:rsid w:val="001425A2"/>
    <w:rsid w:val="001518A9"/>
    <w:rsid w:val="00151BC9"/>
    <w:rsid w:val="001522AD"/>
    <w:rsid w:val="001544EE"/>
    <w:rsid w:val="001553BF"/>
    <w:rsid w:val="00155E80"/>
    <w:rsid w:val="001560EE"/>
    <w:rsid w:val="00156706"/>
    <w:rsid w:val="0015767B"/>
    <w:rsid w:val="00161B48"/>
    <w:rsid w:val="001630C0"/>
    <w:rsid w:val="00164EA2"/>
    <w:rsid w:val="001663DA"/>
    <w:rsid w:val="00167F1C"/>
    <w:rsid w:val="001710C8"/>
    <w:rsid w:val="00172F8A"/>
    <w:rsid w:val="00173505"/>
    <w:rsid w:val="001757A0"/>
    <w:rsid w:val="001802F8"/>
    <w:rsid w:val="00184E80"/>
    <w:rsid w:val="00185003"/>
    <w:rsid w:val="001864D9"/>
    <w:rsid w:val="0018660E"/>
    <w:rsid w:val="00190922"/>
    <w:rsid w:val="00190C4F"/>
    <w:rsid w:val="00193B6F"/>
    <w:rsid w:val="00195DAD"/>
    <w:rsid w:val="00197E93"/>
    <w:rsid w:val="001A1C4A"/>
    <w:rsid w:val="001A519E"/>
    <w:rsid w:val="001A635D"/>
    <w:rsid w:val="001B057F"/>
    <w:rsid w:val="001B1B34"/>
    <w:rsid w:val="001B1D5A"/>
    <w:rsid w:val="001B3997"/>
    <w:rsid w:val="001B48BE"/>
    <w:rsid w:val="001B612B"/>
    <w:rsid w:val="001C5C9E"/>
    <w:rsid w:val="001C61E1"/>
    <w:rsid w:val="001D01A1"/>
    <w:rsid w:val="001D07EE"/>
    <w:rsid w:val="001D0B6E"/>
    <w:rsid w:val="001D47D7"/>
    <w:rsid w:val="001D5F2D"/>
    <w:rsid w:val="001F24CE"/>
    <w:rsid w:val="001F2F16"/>
    <w:rsid w:val="001F7354"/>
    <w:rsid w:val="00200AEA"/>
    <w:rsid w:val="00202972"/>
    <w:rsid w:val="002119AC"/>
    <w:rsid w:val="002143DC"/>
    <w:rsid w:val="00217BF0"/>
    <w:rsid w:val="00221A1F"/>
    <w:rsid w:val="002247B5"/>
    <w:rsid w:val="00225B7F"/>
    <w:rsid w:val="00226324"/>
    <w:rsid w:val="00227D59"/>
    <w:rsid w:val="00227FD3"/>
    <w:rsid w:val="002311BA"/>
    <w:rsid w:val="00231213"/>
    <w:rsid w:val="00233F04"/>
    <w:rsid w:val="0023490B"/>
    <w:rsid w:val="00234F0E"/>
    <w:rsid w:val="002357EF"/>
    <w:rsid w:val="0023680A"/>
    <w:rsid w:val="00236D68"/>
    <w:rsid w:val="00242195"/>
    <w:rsid w:val="0024322D"/>
    <w:rsid w:val="0024329E"/>
    <w:rsid w:val="00243A66"/>
    <w:rsid w:val="00247F9F"/>
    <w:rsid w:val="00251DE5"/>
    <w:rsid w:val="00252B00"/>
    <w:rsid w:val="00252E14"/>
    <w:rsid w:val="00252F6A"/>
    <w:rsid w:val="00254DA9"/>
    <w:rsid w:val="00254FCB"/>
    <w:rsid w:val="0025640A"/>
    <w:rsid w:val="00260706"/>
    <w:rsid w:val="002615C2"/>
    <w:rsid w:val="002654CD"/>
    <w:rsid w:val="00265B7B"/>
    <w:rsid w:val="00270963"/>
    <w:rsid w:val="00272DD6"/>
    <w:rsid w:val="00273100"/>
    <w:rsid w:val="00274CC5"/>
    <w:rsid w:val="00282CAB"/>
    <w:rsid w:val="00290552"/>
    <w:rsid w:val="002936C9"/>
    <w:rsid w:val="00293DA1"/>
    <w:rsid w:val="0029503B"/>
    <w:rsid w:val="002972E9"/>
    <w:rsid w:val="002A3306"/>
    <w:rsid w:val="002A5802"/>
    <w:rsid w:val="002B0739"/>
    <w:rsid w:val="002B0827"/>
    <w:rsid w:val="002B1E54"/>
    <w:rsid w:val="002B227D"/>
    <w:rsid w:val="002B3178"/>
    <w:rsid w:val="002B4D6C"/>
    <w:rsid w:val="002C25D9"/>
    <w:rsid w:val="002C7C40"/>
    <w:rsid w:val="002D2A6C"/>
    <w:rsid w:val="002D5C01"/>
    <w:rsid w:val="002E0978"/>
    <w:rsid w:val="002E1102"/>
    <w:rsid w:val="002E1C2F"/>
    <w:rsid w:val="002F1CAA"/>
    <w:rsid w:val="002F383A"/>
    <w:rsid w:val="003001BA"/>
    <w:rsid w:val="0030354D"/>
    <w:rsid w:val="00303A45"/>
    <w:rsid w:val="00304796"/>
    <w:rsid w:val="00305F69"/>
    <w:rsid w:val="0031251A"/>
    <w:rsid w:val="00315B41"/>
    <w:rsid w:val="0031740E"/>
    <w:rsid w:val="00320ABB"/>
    <w:rsid w:val="0032547D"/>
    <w:rsid w:val="00326822"/>
    <w:rsid w:val="003269F5"/>
    <w:rsid w:val="00330139"/>
    <w:rsid w:val="00331176"/>
    <w:rsid w:val="00331902"/>
    <w:rsid w:val="00340520"/>
    <w:rsid w:val="00346028"/>
    <w:rsid w:val="0034661C"/>
    <w:rsid w:val="003472AC"/>
    <w:rsid w:val="00347D6A"/>
    <w:rsid w:val="00352295"/>
    <w:rsid w:val="00353D41"/>
    <w:rsid w:val="003545D3"/>
    <w:rsid w:val="0035501B"/>
    <w:rsid w:val="003554C1"/>
    <w:rsid w:val="00363AB1"/>
    <w:rsid w:val="003676B6"/>
    <w:rsid w:val="003678D1"/>
    <w:rsid w:val="00367BA1"/>
    <w:rsid w:val="00370F30"/>
    <w:rsid w:val="00371D7C"/>
    <w:rsid w:val="003745A4"/>
    <w:rsid w:val="003754F5"/>
    <w:rsid w:val="00376CF8"/>
    <w:rsid w:val="00381BD3"/>
    <w:rsid w:val="0038277C"/>
    <w:rsid w:val="00384C0A"/>
    <w:rsid w:val="00386397"/>
    <w:rsid w:val="003954CF"/>
    <w:rsid w:val="003B0C0E"/>
    <w:rsid w:val="003B2E42"/>
    <w:rsid w:val="003B769D"/>
    <w:rsid w:val="003C1E97"/>
    <w:rsid w:val="003C3D52"/>
    <w:rsid w:val="003C4945"/>
    <w:rsid w:val="003C4BFE"/>
    <w:rsid w:val="003D5903"/>
    <w:rsid w:val="003D75B6"/>
    <w:rsid w:val="003E55B1"/>
    <w:rsid w:val="003E5B13"/>
    <w:rsid w:val="003E77D9"/>
    <w:rsid w:val="003F0F5A"/>
    <w:rsid w:val="003F1486"/>
    <w:rsid w:val="003F2700"/>
    <w:rsid w:val="003F5370"/>
    <w:rsid w:val="003F7ADA"/>
    <w:rsid w:val="004003DD"/>
    <w:rsid w:val="0040176A"/>
    <w:rsid w:val="004038D2"/>
    <w:rsid w:val="00404119"/>
    <w:rsid w:val="00405A51"/>
    <w:rsid w:val="004063FE"/>
    <w:rsid w:val="00406D6A"/>
    <w:rsid w:val="00407B42"/>
    <w:rsid w:val="00413944"/>
    <w:rsid w:val="00416B08"/>
    <w:rsid w:val="004216F2"/>
    <w:rsid w:val="004219B6"/>
    <w:rsid w:val="004246B7"/>
    <w:rsid w:val="004254EC"/>
    <w:rsid w:val="00425585"/>
    <w:rsid w:val="0043164C"/>
    <w:rsid w:val="00432BB4"/>
    <w:rsid w:val="0043407B"/>
    <w:rsid w:val="004422C1"/>
    <w:rsid w:val="00443255"/>
    <w:rsid w:val="00445628"/>
    <w:rsid w:val="00446C1C"/>
    <w:rsid w:val="0044785B"/>
    <w:rsid w:val="00447A1B"/>
    <w:rsid w:val="004548EA"/>
    <w:rsid w:val="004550F3"/>
    <w:rsid w:val="004570DF"/>
    <w:rsid w:val="00457478"/>
    <w:rsid w:val="00464569"/>
    <w:rsid w:val="00465A10"/>
    <w:rsid w:val="004660A8"/>
    <w:rsid w:val="00472DF5"/>
    <w:rsid w:val="0047503D"/>
    <w:rsid w:val="00475B6A"/>
    <w:rsid w:val="00485010"/>
    <w:rsid w:val="00485E3B"/>
    <w:rsid w:val="00486FD2"/>
    <w:rsid w:val="00491A54"/>
    <w:rsid w:val="00492981"/>
    <w:rsid w:val="00492BBF"/>
    <w:rsid w:val="0049500A"/>
    <w:rsid w:val="004A2BCA"/>
    <w:rsid w:val="004A33B4"/>
    <w:rsid w:val="004A39F8"/>
    <w:rsid w:val="004A3E05"/>
    <w:rsid w:val="004A655C"/>
    <w:rsid w:val="004A7A40"/>
    <w:rsid w:val="004B2747"/>
    <w:rsid w:val="004B3984"/>
    <w:rsid w:val="004B3EE4"/>
    <w:rsid w:val="004B4FEB"/>
    <w:rsid w:val="004C135F"/>
    <w:rsid w:val="004C1DE5"/>
    <w:rsid w:val="004C290F"/>
    <w:rsid w:val="004C4B36"/>
    <w:rsid w:val="004C4CB3"/>
    <w:rsid w:val="004D0B26"/>
    <w:rsid w:val="004D367C"/>
    <w:rsid w:val="004D395D"/>
    <w:rsid w:val="004D3BEA"/>
    <w:rsid w:val="004D5A55"/>
    <w:rsid w:val="004E1CB8"/>
    <w:rsid w:val="004E2328"/>
    <w:rsid w:val="004E2E4C"/>
    <w:rsid w:val="004E350F"/>
    <w:rsid w:val="004E4CFC"/>
    <w:rsid w:val="004E59A3"/>
    <w:rsid w:val="004E7D9F"/>
    <w:rsid w:val="004F5262"/>
    <w:rsid w:val="004F6B69"/>
    <w:rsid w:val="00500C26"/>
    <w:rsid w:val="00501635"/>
    <w:rsid w:val="00502F82"/>
    <w:rsid w:val="00503B17"/>
    <w:rsid w:val="005046E0"/>
    <w:rsid w:val="00504ACC"/>
    <w:rsid w:val="00507AE6"/>
    <w:rsid w:val="00512652"/>
    <w:rsid w:val="00514550"/>
    <w:rsid w:val="00515899"/>
    <w:rsid w:val="00516892"/>
    <w:rsid w:val="00520E2A"/>
    <w:rsid w:val="00526C52"/>
    <w:rsid w:val="00533C4E"/>
    <w:rsid w:val="005347D4"/>
    <w:rsid w:val="005356FE"/>
    <w:rsid w:val="0053709A"/>
    <w:rsid w:val="0054228C"/>
    <w:rsid w:val="00542A0A"/>
    <w:rsid w:val="00542CED"/>
    <w:rsid w:val="00542F0A"/>
    <w:rsid w:val="00544894"/>
    <w:rsid w:val="00547E02"/>
    <w:rsid w:val="005504D4"/>
    <w:rsid w:val="00552D27"/>
    <w:rsid w:val="00553B3F"/>
    <w:rsid w:val="0055430E"/>
    <w:rsid w:val="0055441E"/>
    <w:rsid w:val="005549AA"/>
    <w:rsid w:val="00556780"/>
    <w:rsid w:val="00561508"/>
    <w:rsid w:val="0056206E"/>
    <w:rsid w:val="00562862"/>
    <w:rsid w:val="005644E9"/>
    <w:rsid w:val="00564E1F"/>
    <w:rsid w:val="00572209"/>
    <w:rsid w:val="00572DC8"/>
    <w:rsid w:val="00574FC0"/>
    <w:rsid w:val="00581BEC"/>
    <w:rsid w:val="00584062"/>
    <w:rsid w:val="00584655"/>
    <w:rsid w:val="00587A3C"/>
    <w:rsid w:val="00590DF9"/>
    <w:rsid w:val="00592C45"/>
    <w:rsid w:val="0059472F"/>
    <w:rsid w:val="005A40BB"/>
    <w:rsid w:val="005A4F24"/>
    <w:rsid w:val="005A589D"/>
    <w:rsid w:val="005A58B4"/>
    <w:rsid w:val="005A624E"/>
    <w:rsid w:val="005B0B02"/>
    <w:rsid w:val="005B2FB8"/>
    <w:rsid w:val="005C0124"/>
    <w:rsid w:val="005C03D0"/>
    <w:rsid w:val="005C310A"/>
    <w:rsid w:val="005C3BDC"/>
    <w:rsid w:val="005C7FC8"/>
    <w:rsid w:val="005D09AE"/>
    <w:rsid w:val="005D0AB7"/>
    <w:rsid w:val="005D3398"/>
    <w:rsid w:val="005E15CE"/>
    <w:rsid w:val="005E1CA3"/>
    <w:rsid w:val="005E3E52"/>
    <w:rsid w:val="005F3DD6"/>
    <w:rsid w:val="005F7E26"/>
    <w:rsid w:val="00601914"/>
    <w:rsid w:val="00603097"/>
    <w:rsid w:val="00604956"/>
    <w:rsid w:val="00606031"/>
    <w:rsid w:val="00613DD0"/>
    <w:rsid w:val="00623C9E"/>
    <w:rsid w:val="0063092D"/>
    <w:rsid w:val="00630B26"/>
    <w:rsid w:val="006347F8"/>
    <w:rsid w:val="006351E7"/>
    <w:rsid w:val="00635429"/>
    <w:rsid w:val="00635DA8"/>
    <w:rsid w:val="0063655D"/>
    <w:rsid w:val="00641047"/>
    <w:rsid w:val="00645F81"/>
    <w:rsid w:val="006518EF"/>
    <w:rsid w:val="00651FD3"/>
    <w:rsid w:val="00655776"/>
    <w:rsid w:val="00655E6F"/>
    <w:rsid w:val="00660C82"/>
    <w:rsid w:val="00660FB9"/>
    <w:rsid w:val="006654F2"/>
    <w:rsid w:val="006704F2"/>
    <w:rsid w:val="00674CE0"/>
    <w:rsid w:val="00675348"/>
    <w:rsid w:val="00680680"/>
    <w:rsid w:val="00680D40"/>
    <w:rsid w:val="00681990"/>
    <w:rsid w:val="00693B8B"/>
    <w:rsid w:val="00696EA6"/>
    <w:rsid w:val="006A1E1D"/>
    <w:rsid w:val="006A3C13"/>
    <w:rsid w:val="006A4CCD"/>
    <w:rsid w:val="006A6425"/>
    <w:rsid w:val="006B0959"/>
    <w:rsid w:val="006C0208"/>
    <w:rsid w:val="006C32ED"/>
    <w:rsid w:val="006C425F"/>
    <w:rsid w:val="006C59FE"/>
    <w:rsid w:val="006C5A6E"/>
    <w:rsid w:val="006C6305"/>
    <w:rsid w:val="006D3867"/>
    <w:rsid w:val="006D3AC0"/>
    <w:rsid w:val="006D405F"/>
    <w:rsid w:val="006D4BDF"/>
    <w:rsid w:val="006E1CAC"/>
    <w:rsid w:val="006E2615"/>
    <w:rsid w:val="006F0C1C"/>
    <w:rsid w:val="006F28CD"/>
    <w:rsid w:val="006F4F51"/>
    <w:rsid w:val="006F664C"/>
    <w:rsid w:val="006F7D92"/>
    <w:rsid w:val="00704F84"/>
    <w:rsid w:val="00707828"/>
    <w:rsid w:val="00707C21"/>
    <w:rsid w:val="00710884"/>
    <w:rsid w:val="00713D23"/>
    <w:rsid w:val="00713F70"/>
    <w:rsid w:val="0072202D"/>
    <w:rsid w:val="0073181C"/>
    <w:rsid w:val="00734CF4"/>
    <w:rsid w:val="007351A4"/>
    <w:rsid w:val="0073596D"/>
    <w:rsid w:val="00740A1A"/>
    <w:rsid w:val="00741841"/>
    <w:rsid w:val="0074239E"/>
    <w:rsid w:val="0074274D"/>
    <w:rsid w:val="007450F6"/>
    <w:rsid w:val="00747523"/>
    <w:rsid w:val="007519EA"/>
    <w:rsid w:val="007537D6"/>
    <w:rsid w:val="00754683"/>
    <w:rsid w:val="007579AD"/>
    <w:rsid w:val="00760BEB"/>
    <w:rsid w:val="007634C0"/>
    <w:rsid w:val="00764D0B"/>
    <w:rsid w:val="007679A4"/>
    <w:rsid w:val="00767E1E"/>
    <w:rsid w:val="00771C08"/>
    <w:rsid w:val="00774B7C"/>
    <w:rsid w:val="00782AC1"/>
    <w:rsid w:val="00785CBA"/>
    <w:rsid w:val="00785D61"/>
    <w:rsid w:val="00787B3D"/>
    <w:rsid w:val="007904E1"/>
    <w:rsid w:val="007950F7"/>
    <w:rsid w:val="00797CF7"/>
    <w:rsid w:val="00797F7D"/>
    <w:rsid w:val="007A7366"/>
    <w:rsid w:val="007B2D06"/>
    <w:rsid w:val="007B4DA5"/>
    <w:rsid w:val="007B5559"/>
    <w:rsid w:val="007B5E70"/>
    <w:rsid w:val="007C1248"/>
    <w:rsid w:val="007C64DA"/>
    <w:rsid w:val="007D048A"/>
    <w:rsid w:val="007D5E17"/>
    <w:rsid w:val="007E140B"/>
    <w:rsid w:val="007E1ACD"/>
    <w:rsid w:val="007E26E1"/>
    <w:rsid w:val="007E28F7"/>
    <w:rsid w:val="007E2A2B"/>
    <w:rsid w:val="007E560A"/>
    <w:rsid w:val="007E631D"/>
    <w:rsid w:val="007E70BE"/>
    <w:rsid w:val="007F24DA"/>
    <w:rsid w:val="007F2662"/>
    <w:rsid w:val="007F2F75"/>
    <w:rsid w:val="007F52DD"/>
    <w:rsid w:val="007F5D57"/>
    <w:rsid w:val="007F6D18"/>
    <w:rsid w:val="0080309C"/>
    <w:rsid w:val="00803309"/>
    <w:rsid w:val="008057E6"/>
    <w:rsid w:val="00810F79"/>
    <w:rsid w:val="008124FB"/>
    <w:rsid w:val="00814883"/>
    <w:rsid w:val="00816585"/>
    <w:rsid w:val="008176E8"/>
    <w:rsid w:val="008202AE"/>
    <w:rsid w:val="008203F3"/>
    <w:rsid w:val="0083196A"/>
    <w:rsid w:val="00832348"/>
    <w:rsid w:val="00836B74"/>
    <w:rsid w:val="0084185B"/>
    <w:rsid w:val="008433FC"/>
    <w:rsid w:val="008445CD"/>
    <w:rsid w:val="00844EA7"/>
    <w:rsid w:val="00851D46"/>
    <w:rsid w:val="00852952"/>
    <w:rsid w:val="00853DBD"/>
    <w:rsid w:val="008579B7"/>
    <w:rsid w:val="00857D3F"/>
    <w:rsid w:val="00862247"/>
    <w:rsid w:val="0086767B"/>
    <w:rsid w:val="008712BB"/>
    <w:rsid w:val="00872128"/>
    <w:rsid w:val="008721A4"/>
    <w:rsid w:val="0087317E"/>
    <w:rsid w:val="008770EB"/>
    <w:rsid w:val="00881AF2"/>
    <w:rsid w:val="0088279C"/>
    <w:rsid w:val="00882871"/>
    <w:rsid w:val="008833CD"/>
    <w:rsid w:val="00884399"/>
    <w:rsid w:val="00886B9D"/>
    <w:rsid w:val="00887C6C"/>
    <w:rsid w:val="00892FC9"/>
    <w:rsid w:val="00894A29"/>
    <w:rsid w:val="00895982"/>
    <w:rsid w:val="00896635"/>
    <w:rsid w:val="00896799"/>
    <w:rsid w:val="00896E94"/>
    <w:rsid w:val="008975B3"/>
    <w:rsid w:val="008A0F63"/>
    <w:rsid w:val="008A41B6"/>
    <w:rsid w:val="008A4FC8"/>
    <w:rsid w:val="008A6831"/>
    <w:rsid w:val="008B47A4"/>
    <w:rsid w:val="008C0AAB"/>
    <w:rsid w:val="008C2407"/>
    <w:rsid w:val="008C2D63"/>
    <w:rsid w:val="008C573A"/>
    <w:rsid w:val="008C7C22"/>
    <w:rsid w:val="008D0A7D"/>
    <w:rsid w:val="008E55F1"/>
    <w:rsid w:val="008E65AC"/>
    <w:rsid w:val="008E70F0"/>
    <w:rsid w:val="008F3C4F"/>
    <w:rsid w:val="008F481B"/>
    <w:rsid w:val="008F6319"/>
    <w:rsid w:val="008F657A"/>
    <w:rsid w:val="008F6D9A"/>
    <w:rsid w:val="008F7130"/>
    <w:rsid w:val="008F7C52"/>
    <w:rsid w:val="009043BE"/>
    <w:rsid w:val="00906E2C"/>
    <w:rsid w:val="009119CE"/>
    <w:rsid w:val="00913F49"/>
    <w:rsid w:val="00914B18"/>
    <w:rsid w:val="009150E0"/>
    <w:rsid w:val="009227B6"/>
    <w:rsid w:val="00927430"/>
    <w:rsid w:val="00930F43"/>
    <w:rsid w:val="00931B73"/>
    <w:rsid w:val="00931FA2"/>
    <w:rsid w:val="00932061"/>
    <w:rsid w:val="00934707"/>
    <w:rsid w:val="009358EE"/>
    <w:rsid w:val="0093791C"/>
    <w:rsid w:val="00940B07"/>
    <w:rsid w:val="009508BF"/>
    <w:rsid w:val="00955674"/>
    <w:rsid w:val="0096030E"/>
    <w:rsid w:val="00962DEB"/>
    <w:rsid w:val="00962F98"/>
    <w:rsid w:val="009651B3"/>
    <w:rsid w:val="0096566A"/>
    <w:rsid w:val="00965B65"/>
    <w:rsid w:val="00966725"/>
    <w:rsid w:val="00966C2F"/>
    <w:rsid w:val="00972FF7"/>
    <w:rsid w:val="00976F56"/>
    <w:rsid w:val="00985FEA"/>
    <w:rsid w:val="009938D9"/>
    <w:rsid w:val="00995038"/>
    <w:rsid w:val="00995A86"/>
    <w:rsid w:val="009966AA"/>
    <w:rsid w:val="009A0740"/>
    <w:rsid w:val="009A6B49"/>
    <w:rsid w:val="009B0722"/>
    <w:rsid w:val="009B1422"/>
    <w:rsid w:val="009B1FBA"/>
    <w:rsid w:val="009B3B5A"/>
    <w:rsid w:val="009B45D4"/>
    <w:rsid w:val="009B71AC"/>
    <w:rsid w:val="009C2E14"/>
    <w:rsid w:val="009C4100"/>
    <w:rsid w:val="009C79DE"/>
    <w:rsid w:val="009C7AEB"/>
    <w:rsid w:val="009D1BB1"/>
    <w:rsid w:val="009D65DC"/>
    <w:rsid w:val="009D6793"/>
    <w:rsid w:val="009E107E"/>
    <w:rsid w:val="009E211E"/>
    <w:rsid w:val="009E66A1"/>
    <w:rsid w:val="009F10CC"/>
    <w:rsid w:val="009F3A22"/>
    <w:rsid w:val="009F62D1"/>
    <w:rsid w:val="00A006CF"/>
    <w:rsid w:val="00A0232B"/>
    <w:rsid w:val="00A04043"/>
    <w:rsid w:val="00A0514A"/>
    <w:rsid w:val="00A13D0F"/>
    <w:rsid w:val="00A20C6B"/>
    <w:rsid w:val="00A21808"/>
    <w:rsid w:val="00A22364"/>
    <w:rsid w:val="00A22F8A"/>
    <w:rsid w:val="00A26FF8"/>
    <w:rsid w:val="00A30023"/>
    <w:rsid w:val="00A35779"/>
    <w:rsid w:val="00A40B67"/>
    <w:rsid w:val="00A4194B"/>
    <w:rsid w:val="00A438F3"/>
    <w:rsid w:val="00A440AB"/>
    <w:rsid w:val="00A4551F"/>
    <w:rsid w:val="00A5206B"/>
    <w:rsid w:val="00A548DA"/>
    <w:rsid w:val="00A61176"/>
    <w:rsid w:val="00A61231"/>
    <w:rsid w:val="00A61A23"/>
    <w:rsid w:val="00A61BF5"/>
    <w:rsid w:val="00A62139"/>
    <w:rsid w:val="00A624D8"/>
    <w:rsid w:val="00A63DA8"/>
    <w:rsid w:val="00A642CF"/>
    <w:rsid w:val="00A677DB"/>
    <w:rsid w:val="00A709CA"/>
    <w:rsid w:val="00A749E5"/>
    <w:rsid w:val="00A7591E"/>
    <w:rsid w:val="00A7594A"/>
    <w:rsid w:val="00A77C3A"/>
    <w:rsid w:val="00A82325"/>
    <w:rsid w:val="00A834CF"/>
    <w:rsid w:val="00A85E19"/>
    <w:rsid w:val="00A90717"/>
    <w:rsid w:val="00A917F2"/>
    <w:rsid w:val="00A93285"/>
    <w:rsid w:val="00A93375"/>
    <w:rsid w:val="00AA0F2E"/>
    <w:rsid w:val="00AA52C0"/>
    <w:rsid w:val="00AA6825"/>
    <w:rsid w:val="00AA6E2D"/>
    <w:rsid w:val="00AB0B1C"/>
    <w:rsid w:val="00AB3A8B"/>
    <w:rsid w:val="00AB4C93"/>
    <w:rsid w:val="00AB5FD3"/>
    <w:rsid w:val="00AC65C9"/>
    <w:rsid w:val="00AD1636"/>
    <w:rsid w:val="00AD6D3A"/>
    <w:rsid w:val="00AE2D88"/>
    <w:rsid w:val="00AE32BC"/>
    <w:rsid w:val="00AE3562"/>
    <w:rsid w:val="00AE4003"/>
    <w:rsid w:val="00AF3B98"/>
    <w:rsid w:val="00AF4081"/>
    <w:rsid w:val="00AF50AE"/>
    <w:rsid w:val="00AF57E8"/>
    <w:rsid w:val="00AF7D7B"/>
    <w:rsid w:val="00B00CF2"/>
    <w:rsid w:val="00B02160"/>
    <w:rsid w:val="00B025E5"/>
    <w:rsid w:val="00B02707"/>
    <w:rsid w:val="00B03C69"/>
    <w:rsid w:val="00B04BAE"/>
    <w:rsid w:val="00B15629"/>
    <w:rsid w:val="00B166DB"/>
    <w:rsid w:val="00B16803"/>
    <w:rsid w:val="00B17007"/>
    <w:rsid w:val="00B266D3"/>
    <w:rsid w:val="00B27EFF"/>
    <w:rsid w:val="00B307CD"/>
    <w:rsid w:val="00B32984"/>
    <w:rsid w:val="00B32D41"/>
    <w:rsid w:val="00B3324F"/>
    <w:rsid w:val="00B40EF4"/>
    <w:rsid w:val="00B42FB2"/>
    <w:rsid w:val="00B57F26"/>
    <w:rsid w:val="00B60412"/>
    <w:rsid w:val="00B608B0"/>
    <w:rsid w:val="00B61E1C"/>
    <w:rsid w:val="00B63792"/>
    <w:rsid w:val="00B6642E"/>
    <w:rsid w:val="00B70636"/>
    <w:rsid w:val="00B7065B"/>
    <w:rsid w:val="00B72266"/>
    <w:rsid w:val="00B72F03"/>
    <w:rsid w:val="00B73ACB"/>
    <w:rsid w:val="00B7476E"/>
    <w:rsid w:val="00B749AE"/>
    <w:rsid w:val="00B81206"/>
    <w:rsid w:val="00B83A5C"/>
    <w:rsid w:val="00B85BAE"/>
    <w:rsid w:val="00B929BA"/>
    <w:rsid w:val="00B92F81"/>
    <w:rsid w:val="00B93DD0"/>
    <w:rsid w:val="00B96206"/>
    <w:rsid w:val="00B96647"/>
    <w:rsid w:val="00B96B1F"/>
    <w:rsid w:val="00B96D3D"/>
    <w:rsid w:val="00BA2394"/>
    <w:rsid w:val="00BA6EDD"/>
    <w:rsid w:val="00BB14BF"/>
    <w:rsid w:val="00BB266E"/>
    <w:rsid w:val="00BB269E"/>
    <w:rsid w:val="00BB62A5"/>
    <w:rsid w:val="00BB64C9"/>
    <w:rsid w:val="00BB78BC"/>
    <w:rsid w:val="00BC0A29"/>
    <w:rsid w:val="00BC0D3A"/>
    <w:rsid w:val="00BC2244"/>
    <w:rsid w:val="00BC2A10"/>
    <w:rsid w:val="00BC69C2"/>
    <w:rsid w:val="00BC6E64"/>
    <w:rsid w:val="00BD0974"/>
    <w:rsid w:val="00BD29F9"/>
    <w:rsid w:val="00BD5187"/>
    <w:rsid w:val="00BE2A5F"/>
    <w:rsid w:val="00BE3FC7"/>
    <w:rsid w:val="00BE474B"/>
    <w:rsid w:val="00BE5C3D"/>
    <w:rsid w:val="00BE5C9D"/>
    <w:rsid w:val="00BE63CC"/>
    <w:rsid w:val="00BE6465"/>
    <w:rsid w:val="00BF12A1"/>
    <w:rsid w:val="00BF6BEB"/>
    <w:rsid w:val="00BF7727"/>
    <w:rsid w:val="00C0189C"/>
    <w:rsid w:val="00C06117"/>
    <w:rsid w:val="00C06388"/>
    <w:rsid w:val="00C06CA8"/>
    <w:rsid w:val="00C11FE5"/>
    <w:rsid w:val="00C129CA"/>
    <w:rsid w:val="00C1646E"/>
    <w:rsid w:val="00C20744"/>
    <w:rsid w:val="00C22EAE"/>
    <w:rsid w:val="00C260AB"/>
    <w:rsid w:val="00C26FB8"/>
    <w:rsid w:val="00C3548A"/>
    <w:rsid w:val="00C373B7"/>
    <w:rsid w:val="00C4121E"/>
    <w:rsid w:val="00C412C9"/>
    <w:rsid w:val="00C433FB"/>
    <w:rsid w:val="00C44A84"/>
    <w:rsid w:val="00C47BF4"/>
    <w:rsid w:val="00C5142F"/>
    <w:rsid w:val="00C52827"/>
    <w:rsid w:val="00C5430E"/>
    <w:rsid w:val="00C54739"/>
    <w:rsid w:val="00C555A3"/>
    <w:rsid w:val="00C560A7"/>
    <w:rsid w:val="00C658E8"/>
    <w:rsid w:val="00C66B9B"/>
    <w:rsid w:val="00C67A68"/>
    <w:rsid w:val="00C7004E"/>
    <w:rsid w:val="00C75D39"/>
    <w:rsid w:val="00C76935"/>
    <w:rsid w:val="00C82DE5"/>
    <w:rsid w:val="00C82F11"/>
    <w:rsid w:val="00C833ED"/>
    <w:rsid w:val="00C83715"/>
    <w:rsid w:val="00C84F9B"/>
    <w:rsid w:val="00C86BCC"/>
    <w:rsid w:val="00C87F4A"/>
    <w:rsid w:val="00C907FD"/>
    <w:rsid w:val="00C90E6F"/>
    <w:rsid w:val="00C92452"/>
    <w:rsid w:val="00C93E76"/>
    <w:rsid w:val="00C95596"/>
    <w:rsid w:val="00C9714D"/>
    <w:rsid w:val="00CA1135"/>
    <w:rsid w:val="00CA323E"/>
    <w:rsid w:val="00CA38DB"/>
    <w:rsid w:val="00CA463A"/>
    <w:rsid w:val="00CB5367"/>
    <w:rsid w:val="00CB565E"/>
    <w:rsid w:val="00CB71DC"/>
    <w:rsid w:val="00CC2621"/>
    <w:rsid w:val="00CC2E53"/>
    <w:rsid w:val="00CC610A"/>
    <w:rsid w:val="00CC7669"/>
    <w:rsid w:val="00CD3902"/>
    <w:rsid w:val="00CE1371"/>
    <w:rsid w:val="00CE2B27"/>
    <w:rsid w:val="00CE3D38"/>
    <w:rsid w:val="00CE4EE2"/>
    <w:rsid w:val="00CE5438"/>
    <w:rsid w:val="00CE61E4"/>
    <w:rsid w:val="00CF07A1"/>
    <w:rsid w:val="00CF3E6B"/>
    <w:rsid w:val="00CF4385"/>
    <w:rsid w:val="00CF4F73"/>
    <w:rsid w:val="00CF5207"/>
    <w:rsid w:val="00D0285B"/>
    <w:rsid w:val="00D028E5"/>
    <w:rsid w:val="00D0310A"/>
    <w:rsid w:val="00D038A9"/>
    <w:rsid w:val="00D04489"/>
    <w:rsid w:val="00D04D20"/>
    <w:rsid w:val="00D075C8"/>
    <w:rsid w:val="00D1039D"/>
    <w:rsid w:val="00D20143"/>
    <w:rsid w:val="00D23931"/>
    <w:rsid w:val="00D2767A"/>
    <w:rsid w:val="00D301E6"/>
    <w:rsid w:val="00D3492B"/>
    <w:rsid w:val="00D36478"/>
    <w:rsid w:val="00D36A08"/>
    <w:rsid w:val="00D40FDE"/>
    <w:rsid w:val="00D4285D"/>
    <w:rsid w:val="00D43B2A"/>
    <w:rsid w:val="00D43EAF"/>
    <w:rsid w:val="00D46B1A"/>
    <w:rsid w:val="00D471F8"/>
    <w:rsid w:val="00D51C2D"/>
    <w:rsid w:val="00D531E7"/>
    <w:rsid w:val="00D53F32"/>
    <w:rsid w:val="00D54EC6"/>
    <w:rsid w:val="00D60268"/>
    <w:rsid w:val="00D62614"/>
    <w:rsid w:val="00D651BC"/>
    <w:rsid w:val="00D73445"/>
    <w:rsid w:val="00D73D55"/>
    <w:rsid w:val="00D8298C"/>
    <w:rsid w:val="00D87CD2"/>
    <w:rsid w:val="00D926AD"/>
    <w:rsid w:val="00D96010"/>
    <w:rsid w:val="00DA03D2"/>
    <w:rsid w:val="00DA0B44"/>
    <w:rsid w:val="00DA35C0"/>
    <w:rsid w:val="00DA5068"/>
    <w:rsid w:val="00DA5823"/>
    <w:rsid w:val="00DA6442"/>
    <w:rsid w:val="00DB1616"/>
    <w:rsid w:val="00DB23D1"/>
    <w:rsid w:val="00DB3A20"/>
    <w:rsid w:val="00DB5DED"/>
    <w:rsid w:val="00DB6A0E"/>
    <w:rsid w:val="00DC1E5F"/>
    <w:rsid w:val="00DC26F1"/>
    <w:rsid w:val="00DC3538"/>
    <w:rsid w:val="00DC775A"/>
    <w:rsid w:val="00DC7B91"/>
    <w:rsid w:val="00DD342B"/>
    <w:rsid w:val="00DD48B1"/>
    <w:rsid w:val="00DD7839"/>
    <w:rsid w:val="00DE03DD"/>
    <w:rsid w:val="00DE28AB"/>
    <w:rsid w:val="00DE2CDC"/>
    <w:rsid w:val="00DE3143"/>
    <w:rsid w:val="00DE3476"/>
    <w:rsid w:val="00DF0831"/>
    <w:rsid w:val="00DF36A3"/>
    <w:rsid w:val="00DF6E5B"/>
    <w:rsid w:val="00E0036A"/>
    <w:rsid w:val="00E05012"/>
    <w:rsid w:val="00E05395"/>
    <w:rsid w:val="00E05811"/>
    <w:rsid w:val="00E10167"/>
    <w:rsid w:val="00E12CB7"/>
    <w:rsid w:val="00E15BDB"/>
    <w:rsid w:val="00E17117"/>
    <w:rsid w:val="00E17185"/>
    <w:rsid w:val="00E17C2A"/>
    <w:rsid w:val="00E2075F"/>
    <w:rsid w:val="00E22914"/>
    <w:rsid w:val="00E241F2"/>
    <w:rsid w:val="00E248E3"/>
    <w:rsid w:val="00E256F9"/>
    <w:rsid w:val="00E31221"/>
    <w:rsid w:val="00E36EEE"/>
    <w:rsid w:val="00E371B6"/>
    <w:rsid w:val="00E422CB"/>
    <w:rsid w:val="00E44EA9"/>
    <w:rsid w:val="00E46A76"/>
    <w:rsid w:val="00E47C8D"/>
    <w:rsid w:val="00E5086C"/>
    <w:rsid w:val="00E52C6E"/>
    <w:rsid w:val="00E531F4"/>
    <w:rsid w:val="00E54760"/>
    <w:rsid w:val="00E54F43"/>
    <w:rsid w:val="00E5667D"/>
    <w:rsid w:val="00E56B2B"/>
    <w:rsid w:val="00E57B2F"/>
    <w:rsid w:val="00E6647E"/>
    <w:rsid w:val="00E71851"/>
    <w:rsid w:val="00E72B21"/>
    <w:rsid w:val="00E736A7"/>
    <w:rsid w:val="00E751D3"/>
    <w:rsid w:val="00E75E80"/>
    <w:rsid w:val="00E80B13"/>
    <w:rsid w:val="00E83C67"/>
    <w:rsid w:val="00E846B7"/>
    <w:rsid w:val="00E84D4A"/>
    <w:rsid w:val="00E86077"/>
    <w:rsid w:val="00E9021F"/>
    <w:rsid w:val="00E92178"/>
    <w:rsid w:val="00E927B7"/>
    <w:rsid w:val="00E933F4"/>
    <w:rsid w:val="00E93FA6"/>
    <w:rsid w:val="00E95FB2"/>
    <w:rsid w:val="00E96EEC"/>
    <w:rsid w:val="00EA0A37"/>
    <w:rsid w:val="00EA0C96"/>
    <w:rsid w:val="00EA29DE"/>
    <w:rsid w:val="00EA5BEB"/>
    <w:rsid w:val="00EA5FE5"/>
    <w:rsid w:val="00EA7077"/>
    <w:rsid w:val="00EB72AB"/>
    <w:rsid w:val="00EC0A76"/>
    <w:rsid w:val="00EC159D"/>
    <w:rsid w:val="00EC2617"/>
    <w:rsid w:val="00EC3215"/>
    <w:rsid w:val="00EC48FE"/>
    <w:rsid w:val="00ED0FDD"/>
    <w:rsid w:val="00ED2F38"/>
    <w:rsid w:val="00ED4091"/>
    <w:rsid w:val="00EE0BBE"/>
    <w:rsid w:val="00EE1244"/>
    <w:rsid w:val="00EE17E2"/>
    <w:rsid w:val="00EE19F3"/>
    <w:rsid w:val="00EE1AB0"/>
    <w:rsid w:val="00EE7513"/>
    <w:rsid w:val="00EE7AB2"/>
    <w:rsid w:val="00EF1C42"/>
    <w:rsid w:val="00EF247E"/>
    <w:rsid w:val="00EF677B"/>
    <w:rsid w:val="00EF7825"/>
    <w:rsid w:val="00F005CC"/>
    <w:rsid w:val="00F03420"/>
    <w:rsid w:val="00F04C45"/>
    <w:rsid w:val="00F10DBF"/>
    <w:rsid w:val="00F11899"/>
    <w:rsid w:val="00F13276"/>
    <w:rsid w:val="00F1650E"/>
    <w:rsid w:val="00F1788E"/>
    <w:rsid w:val="00F21454"/>
    <w:rsid w:val="00F214C9"/>
    <w:rsid w:val="00F24107"/>
    <w:rsid w:val="00F25180"/>
    <w:rsid w:val="00F26380"/>
    <w:rsid w:val="00F26751"/>
    <w:rsid w:val="00F27105"/>
    <w:rsid w:val="00F31195"/>
    <w:rsid w:val="00F351EB"/>
    <w:rsid w:val="00F359B8"/>
    <w:rsid w:val="00F3768B"/>
    <w:rsid w:val="00F42C41"/>
    <w:rsid w:val="00F42E90"/>
    <w:rsid w:val="00F438DE"/>
    <w:rsid w:val="00F446AB"/>
    <w:rsid w:val="00F44EF6"/>
    <w:rsid w:val="00F469B1"/>
    <w:rsid w:val="00F46C72"/>
    <w:rsid w:val="00F50897"/>
    <w:rsid w:val="00F50EBC"/>
    <w:rsid w:val="00F555D1"/>
    <w:rsid w:val="00F5745E"/>
    <w:rsid w:val="00F64F3A"/>
    <w:rsid w:val="00F716A2"/>
    <w:rsid w:val="00F721B4"/>
    <w:rsid w:val="00F72ACB"/>
    <w:rsid w:val="00F7371D"/>
    <w:rsid w:val="00F745FD"/>
    <w:rsid w:val="00F747EE"/>
    <w:rsid w:val="00F84E56"/>
    <w:rsid w:val="00F855E0"/>
    <w:rsid w:val="00F90C7F"/>
    <w:rsid w:val="00F92C29"/>
    <w:rsid w:val="00F93BDA"/>
    <w:rsid w:val="00FA1FC9"/>
    <w:rsid w:val="00FA2336"/>
    <w:rsid w:val="00FA47D7"/>
    <w:rsid w:val="00FA5103"/>
    <w:rsid w:val="00FA56B4"/>
    <w:rsid w:val="00FB4D96"/>
    <w:rsid w:val="00FB51B4"/>
    <w:rsid w:val="00FB5C84"/>
    <w:rsid w:val="00FC07BF"/>
    <w:rsid w:val="00FC3199"/>
    <w:rsid w:val="00FC5F98"/>
    <w:rsid w:val="00FC67E9"/>
    <w:rsid w:val="00FC7226"/>
    <w:rsid w:val="00FC7544"/>
    <w:rsid w:val="00FD2936"/>
    <w:rsid w:val="00FD361A"/>
    <w:rsid w:val="00FD4CB4"/>
    <w:rsid w:val="00FD5D29"/>
    <w:rsid w:val="00FE13F5"/>
    <w:rsid w:val="00FE337A"/>
    <w:rsid w:val="00FE4745"/>
    <w:rsid w:val="00FE58F2"/>
    <w:rsid w:val="00FE7CF0"/>
    <w:rsid w:val="00FF09EF"/>
    <w:rsid w:val="00FF1088"/>
    <w:rsid w:val="00FF3A62"/>
    <w:rsid w:val="00FF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
    </o:shapedefaults>
    <o:shapelayout v:ext="edit">
      <o:idmap v:ext="edit" data="1"/>
    </o:shapelayout>
  </w:shapeDefaults>
  <w:decimalSymbol w:val="."/>
  <w:listSeparator w:val=","/>
  <w15:docId w15:val="{C37A526A-71AC-44CB-A375-EE5AF1C1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62"/>
    <w:pPr>
      <w:jc w:val="both"/>
    </w:pPr>
    <w:rPr>
      <w:kern w:val="22"/>
      <w:sz w:val="22"/>
      <w:szCs w:val="24"/>
    </w:rPr>
  </w:style>
  <w:style w:type="paragraph" w:styleId="Heading1">
    <w:name w:val="heading 1"/>
    <w:basedOn w:val="Normal"/>
    <w:next w:val="Normal"/>
    <w:qFormat/>
    <w:rsid w:val="007F2662"/>
    <w:pPr>
      <w:keepNext/>
      <w:numPr>
        <w:numId w:val="1"/>
      </w:numPr>
      <w:spacing w:before="120" w:after="120"/>
      <w:outlineLvl w:val="0"/>
    </w:pPr>
    <w:rPr>
      <w:rFonts w:ascii="Arial" w:hAnsi="Arial"/>
      <w:b/>
      <w:bCs/>
      <w:color w:val="000080"/>
      <w:sz w:val="28"/>
      <w:szCs w:val="32"/>
    </w:rPr>
  </w:style>
  <w:style w:type="paragraph" w:styleId="Heading2">
    <w:name w:val="heading 2"/>
    <w:basedOn w:val="Normal"/>
    <w:next w:val="Normal"/>
    <w:qFormat/>
    <w:rsid w:val="007F2662"/>
    <w:pPr>
      <w:keepNext/>
      <w:numPr>
        <w:ilvl w:val="1"/>
        <w:numId w:val="1"/>
      </w:numPr>
      <w:spacing w:before="240" w:after="60"/>
      <w:outlineLvl w:val="1"/>
    </w:pPr>
    <w:rPr>
      <w:rFonts w:ascii="Arial" w:hAnsi="Arial"/>
      <w:b/>
      <w:bCs/>
      <w:iCs/>
      <w:color w:val="000080"/>
      <w:sz w:val="24"/>
    </w:rPr>
  </w:style>
  <w:style w:type="paragraph" w:styleId="Heading3">
    <w:name w:val="heading 3"/>
    <w:basedOn w:val="Normal"/>
    <w:next w:val="Normal"/>
    <w:qFormat/>
    <w:rsid w:val="007F2662"/>
    <w:pPr>
      <w:keepNext/>
      <w:numPr>
        <w:ilvl w:val="2"/>
        <w:numId w:val="1"/>
      </w:numPr>
      <w:spacing w:before="180" w:after="60"/>
      <w:outlineLvl w:val="2"/>
    </w:pPr>
    <w:rPr>
      <w:rFonts w:ascii="Arial" w:hAnsi="Arial" w:cs="Arial"/>
      <w:b/>
      <w:bCs/>
      <w:i/>
      <w:color w:val="000080"/>
    </w:rPr>
  </w:style>
  <w:style w:type="paragraph" w:styleId="Heading4">
    <w:name w:val="heading 4"/>
    <w:basedOn w:val="Normal"/>
    <w:next w:val="Normal"/>
    <w:qFormat/>
    <w:rsid w:val="007F2662"/>
    <w:pPr>
      <w:keepNext/>
      <w:numPr>
        <w:ilvl w:val="3"/>
        <w:numId w:val="1"/>
      </w:numPr>
      <w:spacing w:before="120" w:after="60"/>
      <w:outlineLvl w:val="3"/>
    </w:pPr>
    <w:rPr>
      <w:b/>
      <w:bCs/>
      <w:kern w:val="0"/>
      <w:szCs w:val="28"/>
    </w:rPr>
  </w:style>
  <w:style w:type="paragraph" w:styleId="Heading5">
    <w:name w:val="heading 5"/>
    <w:basedOn w:val="Normal"/>
    <w:next w:val="Normal"/>
    <w:qFormat/>
    <w:rsid w:val="007F2662"/>
    <w:pPr>
      <w:numPr>
        <w:ilvl w:val="4"/>
        <w:numId w:val="1"/>
      </w:numPr>
      <w:spacing w:before="240" w:after="60"/>
      <w:outlineLvl w:val="4"/>
    </w:pPr>
    <w:rPr>
      <w:b/>
      <w:bCs/>
      <w:i/>
      <w:iCs/>
      <w:sz w:val="26"/>
      <w:szCs w:val="26"/>
    </w:rPr>
  </w:style>
  <w:style w:type="paragraph" w:styleId="Heading6">
    <w:name w:val="heading 6"/>
    <w:basedOn w:val="Normal"/>
    <w:next w:val="Normal"/>
    <w:qFormat/>
    <w:rsid w:val="007F2662"/>
    <w:pPr>
      <w:numPr>
        <w:ilvl w:val="5"/>
        <w:numId w:val="1"/>
      </w:numPr>
      <w:spacing w:before="240" w:after="60"/>
      <w:outlineLvl w:val="5"/>
    </w:pPr>
    <w:rPr>
      <w:b/>
      <w:bCs/>
      <w:szCs w:val="22"/>
    </w:rPr>
  </w:style>
  <w:style w:type="paragraph" w:styleId="Heading7">
    <w:name w:val="heading 7"/>
    <w:basedOn w:val="Normal"/>
    <w:next w:val="Normal"/>
    <w:qFormat/>
    <w:rsid w:val="007F2662"/>
    <w:pPr>
      <w:numPr>
        <w:ilvl w:val="6"/>
        <w:numId w:val="1"/>
      </w:numPr>
      <w:spacing w:before="240" w:after="60"/>
      <w:outlineLvl w:val="6"/>
    </w:pPr>
  </w:style>
  <w:style w:type="paragraph" w:styleId="Heading8">
    <w:name w:val="heading 8"/>
    <w:basedOn w:val="Normal"/>
    <w:next w:val="Normal"/>
    <w:qFormat/>
    <w:rsid w:val="007F2662"/>
    <w:pPr>
      <w:numPr>
        <w:ilvl w:val="7"/>
        <w:numId w:val="1"/>
      </w:numPr>
      <w:spacing w:before="240" w:after="60"/>
      <w:outlineLvl w:val="7"/>
    </w:pPr>
    <w:rPr>
      <w:i/>
      <w:iCs/>
    </w:rPr>
  </w:style>
  <w:style w:type="paragraph" w:styleId="Heading9">
    <w:name w:val="heading 9"/>
    <w:basedOn w:val="Normal"/>
    <w:next w:val="Normal"/>
    <w:qFormat/>
    <w:rsid w:val="007F2662"/>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rsid w:val="007F2662"/>
    <w:pPr>
      <w:spacing w:before="120" w:after="240"/>
      <w:ind w:left="720" w:hanging="720"/>
    </w:pPr>
  </w:style>
  <w:style w:type="paragraph" w:customStyle="1" w:styleId="6pointSpacer">
    <w:name w:val="6pointSpacer"/>
    <w:basedOn w:val="Normal"/>
    <w:rsid w:val="00CE2B27"/>
    <w:rPr>
      <w:sz w:val="12"/>
      <w:szCs w:val="12"/>
    </w:rPr>
  </w:style>
  <w:style w:type="paragraph" w:styleId="BodyText">
    <w:name w:val="Body Text"/>
    <w:basedOn w:val="Normal"/>
    <w:rsid w:val="007F2662"/>
    <w:pPr>
      <w:spacing w:after="120"/>
    </w:pPr>
  </w:style>
  <w:style w:type="paragraph" w:styleId="Caption">
    <w:name w:val="caption"/>
    <w:basedOn w:val="Normal"/>
    <w:next w:val="Normal"/>
    <w:qFormat/>
    <w:rsid w:val="007F2662"/>
    <w:pPr>
      <w:keepNext/>
      <w:spacing w:before="120" w:after="120"/>
    </w:pPr>
    <w:rPr>
      <w:b/>
      <w:bCs/>
      <w:szCs w:val="20"/>
    </w:rPr>
  </w:style>
  <w:style w:type="paragraph" w:customStyle="1" w:styleId="CenteredCaption">
    <w:name w:val="CenteredCaption"/>
    <w:basedOn w:val="Caption"/>
    <w:rsid w:val="007F2662"/>
    <w:pPr>
      <w:jc w:val="center"/>
    </w:pPr>
  </w:style>
  <w:style w:type="character" w:customStyle="1" w:styleId="Emphasize">
    <w:name w:val="Emphasize"/>
    <w:rsid w:val="007F2662"/>
    <w:rPr>
      <w:b/>
      <w:color w:val="000080"/>
    </w:rPr>
  </w:style>
  <w:style w:type="paragraph" w:styleId="Header">
    <w:name w:val="header"/>
    <w:basedOn w:val="Normal"/>
    <w:rsid w:val="00CE2B27"/>
    <w:pPr>
      <w:tabs>
        <w:tab w:val="center" w:pos="4320"/>
        <w:tab w:val="right" w:pos="9360"/>
      </w:tabs>
    </w:pPr>
    <w:rPr>
      <w:rFonts w:ascii="Arial" w:hAnsi="Arial"/>
      <w:sz w:val="16"/>
    </w:rPr>
  </w:style>
  <w:style w:type="character" w:customStyle="1" w:styleId="Italicize">
    <w:name w:val="Italicize"/>
    <w:rsid w:val="00CE2B27"/>
    <w:rPr>
      <w:i/>
      <w:color w:val="003399"/>
    </w:rPr>
  </w:style>
  <w:style w:type="paragraph" w:customStyle="1" w:styleId="Left1">
    <w:name w:val="Left:1"/>
    <w:basedOn w:val="Normal"/>
    <w:rsid w:val="00CE2B27"/>
    <w:pPr>
      <w:ind w:left="504"/>
    </w:pPr>
  </w:style>
  <w:style w:type="paragraph" w:customStyle="1" w:styleId="Left2">
    <w:name w:val="Left:2"/>
    <w:basedOn w:val="Normal"/>
    <w:rsid w:val="00CE2B27"/>
    <w:pPr>
      <w:ind w:left="1008"/>
    </w:pPr>
  </w:style>
  <w:style w:type="paragraph" w:customStyle="1" w:styleId="Left3">
    <w:name w:val="Left:3"/>
    <w:basedOn w:val="Normal"/>
    <w:rsid w:val="00CE2B27"/>
    <w:pPr>
      <w:ind w:left="1800"/>
    </w:pPr>
  </w:style>
  <w:style w:type="paragraph" w:customStyle="1" w:styleId="Left4">
    <w:name w:val="Left:4"/>
    <w:basedOn w:val="Normal"/>
    <w:rsid w:val="00CE2B27"/>
    <w:pPr>
      <w:ind w:left="2736"/>
    </w:pPr>
  </w:style>
  <w:style w:type="numbering" w:customStyle="1" w:styleId="ListBulleted">
    <w:name w:val="List Bulleted"/>
    <w:basedOn w:val="NoList"/>
    <w:rsid w:val="007F2662"/>
    <w:pPr>
      <w:numPr>
        <w:numId w:val="2"/>
      </w:numPr>
    </w:pPr>
  </w:style>
  <w:style w:type="numbering" w:customStyle="1" w:styleId="ListBulletedIndented">
    <w:name w:val="List Bulleted Indented"/>
    <w:basedOn w:val="NoList"/>
    <w:rsid w:val="00CE2B27"/>
    <w:pPr>
      <w:numPr>
        <w:numId w:val="3"/>
      </w:numPr>
    </w:pPr>
  </w:style>
  <w:style w:type="numbering" w:customStyle="1" w:styleId="ListMultiple-choiceChar">
    <w:name w:val="List Multiple-choice Char"/>
    <w:basedOn w:val="NoList"/>
    <w:rsid w:val="00CE2B27"/>
    <w:pPr>
      <w:numPr>
        <w:numId w:val="4"/>
      </w:numPr>
    </w:pPr>
  </w:style>
  <w:style w:type="numbering" w:customStyle="1" w:styleId="ListOutlineChar">
    <w:name w:val="List Outline Char"/>
    <w:rsid w:val="00CE2B27"/>
    <w:pPr>
      <w:numPr>
        <w:numId w:val="5"/>
      </w:numPr>
    </w:pPr>
  </w:style>
  <w:style w:type="numbering" w:customStyle="1" w:styleId="ListOutlineNumbered">
    <w:name w:val="List Outline Numbered"/>
    <w:basedOn w:val="NoList"/>
    <w:rsid w:val="00CE2B27"/>
    <w:pPr>
      <w:numPr>
        <w:numId w:val="6"/>
      </w:numPr>
    </w:pPr>
  </w:style>
  <w:style w:type="paragraph" w:styleId="Subtitle">
    <w:name w:val="Subtitle"/>
    <w:basedOn w:val="Normal"/>
    <w:qFormat/>
    <w:rsid w:val="007F2662"/>
    <w:pPr>
      <w:spacing w:before="120" w:after="120"/>
      <w:jc w:val="center"/>
      <w:outlineLvl w:val="1"/>
    </w:pPr>
    <w:rPr>
      <w:rFonts w:ascii="Arial" w:hAnsi="Arial" w:cs="Arial"/>
      <w:color w:val="000080"/>
    </w:rPr>
  </w:style>
  <w:style w:type="paragraph" w:customStyle="1" w:styleId="TableCentered">
    <w:name w:val="TableCentered"/>
    <w:basedOn w:val="Normal"/>
    <w:rsid w:val="00CE2B27"/>
    <w:pPr>
      <w:jc w:val="center"/>
    </w:pPr>
    <w:rPr>
      <w:szCs w:val="20"/>
    </w:rPr>
  </w:style>
  <w:style w:type="paragraph" w:customStyle="1" w:styleId="TableLeftText">
    <w:name w:val="TableLeftText"/>
    <w:basedOn w:val="Normal"/>
    <w:rsid w:val="00CE2B27"/>
  </w:style>
  <w:style w:type="paragraph" w:customStyle="1" w:styleId="TableRightText">
    <w:name w:val="TableRightText"/>
    <w:basedOn w:val="Normal"/>
    <w:rsid w:val="00CE2B27"/>
    <w:pPr>
      <w:jc w:val="right"/>
    </w:pPr>
  </w:style>
  <w:style w:type="paragraph" w:styleId="Title">
    <w:name w:val="Title"/>
    <w:basedOn w:val="Normal"/>
    <w:qFormat/>
    <w:rsid w:val="007F2662"/>
    <w:pPr>
      <w:spacing w:before="240" w:after="60"/>
      <w:jc w:val="center"/>
      <w:outlineLvl w:val="0"/>
    </w:pPr>
    <w:rPr>
      <w:rFonts w:ascii="Arial" w:hAnsi="Arial" w:cs="Arial"/>
      <w:b/>
      <w:bCs/>
      <w:smallCaps/>
      <w:color w:val="000080"/>
      <w:kern w:val="28"/>
      <w:sz w:val="28"/>
      <w:szCs w:val="32"/>
    </w:rPr>
  </w:style>
  <w:style w:type="character" w:customStyle="1" w:styleId="Answer">
    <w:name w:val="Answer"/>
    <w:rsid w:val="00CE2B27"/>
    <w:rPr>
      <w:b/>
      <w:i/>
      <w:u w:val="single"/>
      <w:bdr w:val="none" w:sz="0" w:space="0" w:color="auto"/>
      <w:shd w:val="clear" w:color="auto" w:fill="FFFF99"/>
    </w:rPr>
  </w:style>
  <w:style w:type="paragraph" w:customStyle="1" w:styleId="GCaptionBoldCentered">
    <w:name w:val="GCaptionBoldCentered"/>
    <w:basedOn w:val="Normal"/>
    <w:rsid w:val="00202972"/>
    <w:pPr>
      <w:keepNext/>
      <w:jc w:val="center"/>
    </w:pPr>
    <w:rPr>
      <w:b/>
      <w:color w:val="000099"/>
      <w:sz w:val="24"/>
    </w:rPr>
  </w:style>
  <w:style w:type="paragraph" w:styleId="Footer">
    <w:name w:val="footer"/>
    <w:basedOn w:val="Normal"/>
    <w:rsid w:val="007F2662"/>
    <w:pPr>
      <w:tabs>
        <w:tab w:val="center" w:pos="4320"/>
        <w:tab w:val="right" w:pos="9360"/>
      </w:tabs>
    </w:pPr>
    <w:rPr>
      <w:rFonts w:ascii="Arial" w:hAnsi="Arial"/>
      <w:sz w:val="16"/>
    </w:rPr>
  </w:style>
  <w:style w:type="character" w:styleId="PageNumber">
    <w:name w:val="page number"/>
    <w:basedOn w:val="DefaultParagraphFont"/>
    <w:rsid w:val="00FD361A"/>
  </w:style>
  <w:style w:type="paragraph" w:customStyle="1" w:styleId="CoverText">
    <w:name w:val="CoverText"/>
    <w:basedOn w:val="Normal"/>
    <w:rsid w:val="007F2662"/>
    <w:pPr>
      <w:jc w:val="center"/>
    </w:pPr>
  </w:style>
  <w:style w:type="paragraph" w:styleId="BodyText3">
    <w:name w:val="Body Text 3"/>
    <w:basedOn w:val="Normal"/>
    <w:rsid w:val="007F2662"/>
    <w:rPr>
      <w:sz w:val="18"/>
      <w:szCs w:val="16"/>
    </w:rPr>
  </w:style>
  <w:style w:type="paragraph" w:styleId="BodyTextFirstIndent">
    <w:name w:val="Body Text First Indent"/>
    <w:basedOn w:val="BodyText"/>
    <w:rsid w:val="007F2662"/>
    <w:pPr>
      <w:spacing w:line="480" w:lineRule="auto"/>
      <w:ind w:firstLine="432"/>
    </w:pPr>
  </w:style>
  <w:style w:type="paragraph" w:styleId="FootnoteText">
    <w:name w:val="footnote text"/>
    <w:basedOn w:val="Normal"/>
    <w:rsid w:val="007F2662"/>
    <w:rPr>
      <w:sz w:val="20"/>
      <w:szCs w:val="20"/>
    </w:rPr>
  </w:style>
  <w:style w:type="paragraph" w:customStyle="1" w:styleId="CenterTable">
    <w:name w:val="CenterTable"/>
    <w:basedOn w:val="Normal"/>
    <w:rsid w:val="007F2662"/>
    <w:pPr>
      <w:jc w:val="center"/>
    </w:pPr>
  </w:style>
  <w:style w:type="numbering" w:customStyle="1" w:styleId="StyleOutlinenumbered">
    <w:name w:val="Style Outline numbered"/>
    <w:basedOn w:val="NoList"/>
    <w:rsid w:val="007F2662"/>
    <w:pPr>
      <w:numPr>
        <w:numId w:val="11"/>
      </w:numPr>
    </w:pPr>
  </w:style>
  <w:style w:type="paragraph" w:customStyle="1" w:styleId="StyleLeft14">
    <w:name w:val="Style Left:  1.4&quot;"/>
    <w:basedOn w:val="Normal"/>
    <w:rsid w:val="007F2662"/>
    <w:pPr>
      <w:ind w:left="2016"/>
    </w:pPr>
    <w:rPr>
      <w:szCs w:val="22"/>
    </w:rPr>
  </w:style>
  <w:style w:type="paragraph" w:customStyle="1" w:styleId="StyleLeft105">
    <w:name w:val="Style Left:  1.05&quot;"/>
    <w:basedOn w:val="Normal"/>
    <w:rsid w:val="007F2662"/>
    <w:pPr>
      <w:ind w:left="1512"/>
    </w:pPr>
    <w:rPr>
      <w:szCs w:val="20"/>
    </w:rPr>
  </w:style>
  <w:style w:type="paragraph" w:customStyle="1" w:styleId="StyleLeft07">
    <w:name w:val="Style Left:  0.7&quot;"/>
    <w:basedOn w:val="Normal"/>
    <w:rsid w:val="007F2662"/>
    <w:pPr>
      <w:ind w:left="1008"/>
    </w:pPr>
    <w:rPr>
      <w:szCs w:val="20"/>
    </w:rPr>
  </w:style>
  <w:style w:type="paragraph" w:customStyle="1" w:styleId="StyleLeft035">
    <w:name w:val="Style Left:  0.35&quot;"/>
    <w:basedOn w:val="Normal"/>
    <w:rsid w:val="007F2662"/>
    <w:pPr>
      <w:ind w:left="504"/>
    </w:pPr>
    <w:rPr>
      <w:szCs w:val="20"/>
    </w:rPr>
  </w:style>
  <w:style w:type="paragraph" w:customStyle="1" w:styleId="Indentedlist">
    <w:name w:val="Indented list"/>
    <w:basedOn w:val="Normal"/>
    <w:rsid w:val="007F2662"/>
    <w:pPr>
      <w:numPr>
        <w:numId w:val="7"/>
      </w:numPr>
      <w:tabs>
        <w:tab w:val="clear" w:pos="1008"/>
        <w:tab w:val="num" w:pos="360"/>
      </w:tabs>
      <w:ind w:left="0" w:firstLine="0"/>
    </w:pPr>
    <w:rPr>
      <w:szCs w:val="22"/>
    </w:rPr>
  </w:style>
  <w:style w:type="paragraph" w:styleId="List">
    <w:name w:val="List"/>
    <w:basedOn w:val="Normal"/>
    <w:rsid w:val="007F2662"/>
    <w:pPr>
      <w:numPr>
        <w:numId w:val="8"/>
      </w:numPr>
      <w:tabs>
        <w:tab w:val="clear" w:pos="504"/>
        <w:tab w:val="num" w:pos="360"/>
      </w:tabs>
      <w:ind w:left="0" w:firstLine="0"/>
    </w:pPr>
    <w:rPr>
      <w:szCs w:val="22"/>
    </w:rPr>
  </w:style>
  <w:style w:type="numbering" w:customStyle="1" w:styleId="StyleCharOutlinenumbered">
    <w:name w:val="Style Char Outline numbered"/>
    <w:basedOn w:val="NoList"/>
    <w:rsid w:val="007F2662"/>
    <w:pPr>
      <w:numPr>
        <w:numId w:val="12"/>
      </w:numPr>
    </w:pPr>
  </w:style>
  <w:style w:type="table" w:styleId="TableGrid">
    <w:name w:val="Table Grid"/>
    <w:basedOn w:val="TableNormal"/>
    <w:rsid w:val="004255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31E7"/>
    <w:rPr>
      <w:color w:val="0000FF"/>
      <w:u w:val="single"/>
    </w:rPr>
  </w:style>
  <w:style w:type="character" w:styleId="FollowedHyperlink">
    <w:name w:val="FollowedHyperlink"/>
    <w:rsid w:val="002D2A6C"/>
    <w:rPr>
      <w:color w:val="800080"/>
      <w:u w:val="single"/>
    </w:rPr>
  </w:style>
  <w:style w:type="paragraph" w:styleId="BalloonText">
    <w:name w:val="Balloon Text"/>
    <w:basedOn w:val="Normal"/>
    <w:link w:val="BalloonTextChar"/>
    <w:rsid w:val="0096030E"/>
    <w:rPr>
      <w:rFonts w:ascii="Tahoma" w:hAnsi="Tahoma" w:cs="Tahoma"/>
      <w:sz w:val="16"/>
      <w:szCs w:val="16"/>
    </w:rPr>
  </w:style>
  <w:style w:type="character" w:customStyle="1" w:styleId="BalloonTextChar">
    <w:name w:val="Balloon Text Char"/>
    <w:link w:val="BalloonText"/>
    <w:rsid w:val="0096030E"/>
    <w:rPr>
      <w:rFonts w:ascii="Tahoma" w:hAnsi="Tahoma" w:cs="Tahoma"/>
      <w:kern w:val="22"/>
      <w:sz w:val="16"/>
      <w:szCs w:val="16"/>
    </w:rPr>
  </w:style>
  <w:style w:type="paragraph" w:styleId="ListParagraph">
    <w:name w:val="List Paragraph"/>
    <w:basedOn w:val="Normal"/>
    <w:uiPriority w:val="34"/>
    <w:qFormat/>
    <w:rsid w:val="00C83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969">
      <w:bodyDiv w:val="1"/>
      <w:marLeft w:val="0"/>
      <w:marRight w:val="0"/>
      <w:marTop w:val="0"/>
      <w:marBottom w:val="0"/>
      <w:divBdr>
        <w:top w:val="none" w:sz="0" w:space="0" w:color="auto"/>
        <w:left w:val="none" w:sz="0" w:space="0" w:color="auto"/>
        <w:bottom w:val="none" w:sz="0" w:space="0" w:color="auto"/>
        <w:right w:val="none" w:sz="0" w:space="0" w:color="auto"/>
      </w:divBdr>
    </w:div>
    <w:div w:id="404842336">
      <w:bodyDiv w:val="1"/>
      <w:marLeft w:val="0"/>
      <w:marRight w:val="0"/>
      <w:marTop w:val="0"/>
      <w:marBottom w:val="0"/>
      <w:divBdr>
        <w:top w:val="none" w:sz="0" w:space="0" w:color="auto"/>
        <w:left w:val="none" w:sz="0" w:space="0" w:color="auto"/>
        <w:bottom w:val="none" w:sz="0" w:space="0" w:color="auto"/>
        <w:right w:val="none" w:sz="0" w:space="0" w:color="auto"/>
      </w:divBdr>
    </w:div>
    <w:div w:id="9169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odeohl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de\AppData\Roaming\Microsoft\Template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paper.dotx</Template>
  <TotalTime>276</TotalTime>
  <Pages>2</Pages>
  <Words>3851</Words>
  <Characters>21955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Valuation: Dividends, Book Values, and Earnings</vt:lpstr>
    </vt:vector>
  </TitlesOfParts>
  <Manager>http://www.godeohlson.com</Manager>
  <Company>paper.dot</Company>
  <LinksUpToDate>false</LinksUpToDate>
  <CharactersWithSpaces>25755</CharactersWithSpaces>
  <SharedDoc>false</SharedDoc>
  <HLinks>
    <vt:vector size="6" baseType="variant">
      <vt:variant>
        <vt:i4>2752545</vt:i4>
      </vt:variant>
      <vt:variant>
        <vt:i4>8</vt:i4>
      </vt:variant>
      <vt:variant>
        <vt:i4>0</vt:i4>
      </vt:variant>
      <vt:variant>
        <vt:i4>5</vt:i4>
      </vt:variant>
      <vt:variant>
        <vt:lpwstr>http://www.godeohlson.com/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Dividends, Book Values, and Earnings</dc:title>
  <dc:subject>Financial Statement Analysis and Valuation</dc:subject>
  <dc:creator>Dan Gode and James Ohlson</dc:creator>
  <cp:keywords/>
  <dc:description/>
  <cp:lastModifiedBy>Dan Gode</cp:lastModifiedBy>
  <cp:revision>169</cp:revision>
  <cp:lastPrinted>2012-01-23T17:13:00Z</cp:lastPrinted>
  <dcterms:created xsi:type="dcterms:W3CDTF">2012-01-08T20:33:00Z</dcterms:created>
  <dcterms:modified xsi:type="dcterms:W3CDTF">2016-09-03T23:01:00Z</dcterms:modified>
</cp:coreProperties>
</file>