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BC" w:rsidRDefault="00E85D8B" w:rsidP="005F72BC">
      <w:pPr>
        <w:pStyle w:val="Title"/>
      </w:pPr>
      <w:bookmarkStart w:id="0" w:name="_GoBack"/>
      <w:bookmarkEnd w:id="0"/>
      <w:r>
        <w:t xml:space="preserve">Adjusting </w:t>
      </w:r>
      <w:r w:rsidR="00E12388">
        <w:t>Analyst Forecasts</w:t>
      </w:r>
    </w:p>
    <w:p w:rsidR="007C6785" w:rsidRPr="0054763C" w:rsidRDefault="00FE3F95" w:rsidP="007C6785">
      <w:pPr>
        <w:pStyle w:val="Subtitle"/>
      </w:pPr>
      <w:r>
        <w:t xml:space="preserve">© </w:t>
      </w:r>
      <w:r w:rsidR="007C6785">
        <w:t>Dan Gode and James Ohlson</w:t>
      </w:r>
    </w:p>
    <w:p w:rsidR="00876C0E" w:rsidRDefault="00876C0E" w:rsidP="008B0AC5">
      <w:pPr>
        <w:pStyle w:val="Heading1"/>
      </w:pPr>
      <w:r>
        <w:t>Overview</w:t>
      </w:r>
    </w:p>
    <w:p w:rsidR="00D75380" w:rsidRDefault="009C0C5C" w:rsidP="00D75380">
      <w:pPr>
        <w:pStyle w:val="BodyText"/>
      </w:pPr>
      <w:r>
        <w:t>Analyst forecasts drive value. Therefore, it is useful to understand potential biases in analyst forecasts and adjust those forecasts to remove some of the biases</w:t>
      </w:r>
      <w:r w:rsidR="00BA2959">
        <w:t xml:space="preserve">. This spreadsheet examines analyst forecasts of sales and EPS for the forthcoming two years because they are readily available. </w:t>
      </w:r>
      <w:r w:rsidR="0065195C">
        <w:t xml:space="preserve">Forecasted </w:t>
      </w:r>
      <w:r w:rsidR="009E14AD">
        <w:t>EPS</w:t>
      </w:r>
      <w:r w:rsidR="009E14AD">
        <w:rPr>
          <w:vertAlign w:val="subscript"/>
        </w:rPr>
        <w:t xml:space="preserve"> </w:t>
      </w:r>
      <w:r w:rsidR="009E14AD">
        <w:t xml:space="preserve">growth typically exceeds </w:t>
      </w:r>
      <w:r w:rsidR="0065195C">
        <w:t xml:space="preserve">forecasted </w:t>
      </w:r>
      <w:r w:rsidR="009E14AD">
        <w:t>sales growth</w:t>
      </w:r>
      <w:r w:rsidR="0065195C">
        <w:t xml:space="preserve"> 75% of the time. </w:t>
      </w:r>
      <w:r w:rsidR="00D75380">
        <w:t>An expected increase in leverage and reduction in number of shares due to stock buybacks, can sometimes explain why EPS is expected to grow faster than sales. More frequently, the discrepancy is due to an overly optimistic forecast of margin expansion. This spreadsheet deconstructs EPS forecasts into their parts to separate these two effects. The spreadsheet does the following:</w:t>
      </w:r>
    </w:p>
    <w:p w:rsidR="0065195C" w:rsidRDefault="0065195C" w:rsidP="0065195C">
      <w:pPr>
        <w:pStyle w:val="BodyText"/>
        <w:numPr>
          <w:ilvl w:val="0"/>
          <w:numId w:val="42"/>
        </w:numPr>
      </w:pPr>
      <w:r>
        <w:t>It removes the effect of changes in financial policy and stock buybacks by unleveraging EPS forecasts to arrive at analyst expectations regarding after tax enterprise profit margin for the upcoming two years. Databases of analyst forecasts typically provide forecasts of net income, not operating income. It is useful to derive the implied growth in operating income to remove the effect of financial policy. Unleveraging requires forecasts of shares outstanding and net after tax financial expense.</w:t>
      </w:r>
    </w:p>
    <w:p w:rsidR="00001EF6" w:rsidRDefault="0065195C" w:rsidP="0065195C">
      <w:pPr>
        <w:pStyle w:val="BodyText"/>
        <w:numPr>
          <w:ilvl w:val="0"/>
          <w:numId w:val="42"/>
        </w:numPr>
      </w:pPr>
      <w:r>
        <w:t xml:space="preserve">It </w:t>
      </w:r>
      <w:r w:rsidR="009E14AD">
        <w:t>removes the effect of analyst optimism regarding improvements in operating margin. Such improvements may be attributed to operating leverage or reduction in variable costs that may not be justified. Therefore, the spreadsheet adjusts the forecast of EPS for Y2 under the assumption that there will be no operating margin expansion. Typically, the Y2 margin is greater than the Y1 margin suggesting an upward bias in the Y2 figure.</w:t>
      </w:r>
    </w:p>
    <w:p w:rsidR="006E0EFC" w:rsidRDefault="006E0EFC" w:rsidP="0055444B">
      <w:pPr>
        <w:pStyle w:val="BodyText"/>
        <w:numPr>
          <w:ilvl w:val="0"/>
          <w:numId w:val="42"/>
        </w:numPr>
      </w:pPr>
      <w:r>
        <w:t xml:space="preserve">It </w:t>
      </w:r>
      <w:r w:rsidR="0065195C">
        <w:t xml:space="preserve">removes the effect of differences </w:t>
      </w:r>
      <w:r w:rsidR="00D75380">
        <w:t xml:space="preserve">in EPS growth that is driven by differences in </w:t>
      </w:r>
      <w:r w:rsidR="0065195C">
        <w:t xml:space="preserve">dividend payouts across firms. </w:t>
      </w:r>
      <w:r w:rsidR="0055444B" w:rsidRPr="0055444B">
        <w:t xml:space="preserve">The spreadsheet recognizes that the growth in earnings depends on dividend policy. </w:t>
      </w:r>
      <w:r w:rsidR="00D75380" w:rsidRPr="00D75380">
        <w:t xml:space="preserve">To </w:t>
      </w:r>
      <w:r w:rsidR="00D75380">
        <w:t xml:space="preserve">compare EPS growth, </w:t>
      </w:r>
      <w:r w:rsidR="00D75380" w:rsidRPr="00D75380">
        <w:t>one need</w:t>
      </w:r>
      <w:r w:rsidR="00D75380">
        <w:t xml:space="preserve">s to adjust </w:t>
      </w:r>
      <w:r w:rsidR="00D75380" w:rsidRPr="00D75380">
        <w:t xml:space="preserve">EPS </w:t>
      </w:r>
      <w:r w:rsidR="0055444B">
        <w:t>for the earnings foregone in Y2 on dividends paid in Y1. The spreadsheet recomputes EPS growth by i</w:t>
      </w:r>
      <w:r w:rsidR="000C017B">
        <w:t xml:space="preserve">ncreasing Y2 earnings by Y1 </w:t>
      </w:r>
      <w:r w:rsidR="000C017B" w:rsidRPr="000C017B">
        <w:t>dividends</w:t>
      </w:r>
      <w:r w:rsidR="000C017B">
        <w:t xml:space="preserve"> times the rate of return that could have been earned on Y1 dividends.</w:t>
      </w:r>
    </w:p>
    <w:p w:rsidR="005F72BC" w:rsidRDefault="00990188" w:rsidP="00990188">
      <w:pPr>
        <w:pStyle w:val="Heading1"/>
      </w:pPr>
      <w:r>
        <w:t xml:space="preserve">Detailed steps to be </w:t>
      </w:r>
      <w:r w:rsidR="00097B45">
        <w:t>read</w:t>
      </w:r>
      <w:r>
        <w:t xml:space="preserve"> with the spreadsheet</w:t>
      </w:r>
    </w:p>
    <w:p w:rsidR="00481967" w:rsidRPr="00481967" w:rsidRDefault="00481967" w:rsidP="00481967">
      <w:pPr>
        <w:pStyle w:val="BodyText"/>
      </w:pPr>
      <w:r>
        <w:t xml:space="preserve">Current year is </w:t>
      </w:r>
      <w:r w:rsidR="00B900AA">
        <w:t>Y0</w:t>
      </w:r>
      <w:r>
        <w:t xml:space="preserve">. The </w:t>
      </w:r>
      <w:r w:rsidR="00A23BD7">
        <w:t xml:space="preserve">next two years are denoted by </w:t>
      </w:r>
      <w:r w:rsidR="00B900AA">
        <w:t>Y1</w:t>
      </w:r>
      <w:r w:rsidR="00A23BD7">
        <w:t xml:space="preserve"> and </w:t>
      </w:r>
      <w:r w:rsidR="00B900AA">
        <w:t>Y2</w:t>
      </w:r>
      <w:r>
        <w:t>, respectively.</w:t>
      </w:r>
    </w:p>
    <w:p w:rsidR="00481967" w:rsidRPr="00481967" w:rsidRDefault="00481967" w:rsidP="00481967">
      <w:pPr>
        <w:pStyle w:val="Heading2"/>
      </w:pPr>
      <w:r>
        <w:t>Analyst forecasts</w:t>
      </w:r>
      <w:r w:rsidR="00435FCF">
        <w:t xml:space="preserve"> of </w:t>
      </w:r>
      <w:r w:rsidR="00017D15">
        <w:t>sales</w:t>
      </w:r>
      <w:r w:rsidR="00C900AD">
        <w:t xml:space="preserve"> and EPS</w:t>
      </w:r>
    </w:p>
    <w:p w:rsidR="000B4E18" w:rsidRDefault="000B4E18" w:rsidP="00AC3876">
      <w:pPr>
        <w:pStyle w:val="BodyText"/>
        <w:numPr>
          <w:ilvl w:val="0"/>
          <w:numId w:val="40"/>
        </w:numPr>
      </w:pPr>
      <w:r>
        <w:t>Input: Forecasts of sales for the forthcoming two years</w:t>
      </w:r>
    </w:p>
    <w:p w:rsidR="000B4E18" w:rsidRDefault="00481967" w:rsidP="00AC3876">
      <w:pPr>
        <w:pStyle w:val="BodyText"/>
        <w:numPr>
          <w:ilvl w:val="0"/>
          <w:numId w:val="40"/>
        </w:numPr>
      </w:pPr>
      <w:r>
        <w:t xml:space="preserve">Input: </w:t>
      </w:r>
      <w:r w:rsidR="000B4E18">
        <w:t xml:space="preserve">Forecasts of </w:t>
      </w:r>
      <w:r>
        <w:t xml:space="preserve">earnings </w:t>
      </w:r>
      <w:r w:rsidR="000B4E18">
        <w:t xml:space="preserve">per share </w:t>
      </w:r>
      <w:r>
        <w:t xml:space="preserve">for </w:t>
      </w:r>
      <w:r w:rsidR="000B4E18">
        <w:t>the forthcoming two years</w:t>
      </w:r>
    </w:p>
    <w:p w:rsidR="000B4E18" w:rsidRDefault="004771F1" w:rsidP="00D52DF8">
      <w:pPr>
        <w:pStyle w:val="Heading2"/>
      </w:pPr>
      <w:r>
        <w:t>Required</w:t>
      </w:r>
      <w:r w:rsidR="00D52DF8">
        <w:t xml:space="preserve"> forecasts</w:t>
      </w:r>
      <w:r w:rsidR="00435FCF">
        <w:t xml:space="preserve"> of </w:t>
      </w:r>
      <w:r w:rsidR="00AE0693">
        <w:t>interest and taxes</w:t>
      </w:r>
    </w:p>
    <w:p w:rsidR="00AC3876" w:rsidRDefault="00435FCF" w:rsidP="00AC3876">
      <w:pPr>
        <w:pStyle w:val="BodyText"/>
        <w:numPr>
          <w:ilvl w:val="0"/>
          <w:numId w:val="40"/>
        </w:numPr>
      </w:pPr>
      <w:r>
        <w:t>Input: Number of shares outstanding</w:t>
      </w:r>
      <w:r w:rsidR="00FC4983">
        <w:t xml:space="preserve"> </w:t>
      </w:r>
      <w:r w:rsidR="008B1F0B">
        <w:t>is</w:t>
      </w:r>
      <w:r w:rsidR="00BB7AF9">
        <w:t xml:space="preserve"> </w:t>
      </w:r>
      <w:r>
        <w:t>needed to convert per share amounts to dollar totals.</w:t>
      </w:r>
    </w:p>
    <w:p w:rsidR="00FC4983" w:rsidRDefault="00FC4983" w:rsidP="00AC3876">
      <w:pPr>
        <w:pStyle w:val="BodyText"/>
        <w:numPr>
          <w:ilvl w:val="1"/>
          <w:numId w:val="40"/>
        </w:numPr>
      </w:pPr>
      <w:r>
        <w:t xml:space="preserve">As a practical matter, you can generally set </w:t>
      </w:r>
      <w:r w:rsidR="008B1F0B">
        <w:t>future number of shares outstanding</w:t>
      </w:r>
      <w:r>
        <w:t xml:space="preserve"> to the current number of shares outstanding unless </w:t>
      </w:r>
      <w:r w:rsidR="008B1F0B">
        <w:t xml:space="preserve">the </w:t>
      </w:r>
      <w:r>
        <w:t xml:space="preserve">firm has </w:t>
      </w:r>
      <w:r w:rsidR="00891F74">
        <w:t>known</w:t>
      </w:r>
      <w:r>
        <w:t xml:space="preserve"> plan</w:t>
      </w:r>
      <w:r w:rsidR="008B1F0B">
        <w:t>s</w:t>
      </w:r>
      <w:r>
        <w:t xml:space="preserve"> to buy back or issue shares.</w:t>
      </w:r>
    </w:p>
    <w:p w:rsidR="00435FCF" w:rsidRDefault="00435FCF" w:rsidP="00AC3876">
      <w:pPr>
        <w:pStyle w:val="BodyText"/>
        <w:numPr>
          <w:ilvl w:val="0"/>
          <w:numId w:val="40"/>
        </w:numPr>
      </w:pPr>
      <w:r>
        <w:t>Input: Net interest expense</w:t>
      </w:r>
    </w:p>
    <w:p w:rsidR="00CD552B" w:rsidRDefault="00A32144" w:rsidP="00AC3876">
      <w:pPr>
        <w:pStyle w:val="BodyText"/>
        <w:numPr>
          <w:ilvl w:val="1"/>
          <w:numId w:val="40"/>
        </w:numPr>
      </w:pPr>
      <w:r>
        <w:t>As a practical matter,</w:t>
      </w:r>
      <w:r w:rsidR="0009206A">
        <w:t xml:space="preserve"> you can generally set </w:t>
      </w:r>
      <w:r w:rsidR="00891F74">
        <w:t xml:space="preserve">future net interest expense </w:t>
      </w:r>
      <w:r w:rsidR="0009206A">
        <w:t xml:space="preserve">to the current </w:t>
      </w:r>
      <w:r w:rsidR="00891F74">
        <w:t xml:space="preserve">net </w:t>
      </w:r>
      <w:r w:rsidR="0009206A">
        <w:t>interest expense. R</w:t>
      </w:r>
      <w:r w:rsidR="00983445">
        <w:t>efining the forecast of net interest expense via capital structure assumptions will generally not be material to justify the effort.</w:t>
      </w:r>
    </w:p>
    <w:p w:rsidR="00435FCF" w:rsidRDefault="00435FCF" w:rsidP="00AC3876">
      <w:pPr>
        <w:pStyle w:val="BodyText"/>
        <w:numPr>
          <w:ilvl w:val="0"/>
          <w:numId w:val="40"/>
        </w:numPr>
      </w:pPr>
      <w:r>
        <w:t>Input: Tax rate</w:t>
      </w:r>
    </w:p>
    <w:p w:rsidR="00841761" w:rsidRDefault="00841761" w:rsidP="00AC3876">
      <w:pPr>
        <w:pStyle w:val="BodyText"/>
        <w:numPr>
          <w:ilvl w:val="1"/>
          <w:numId w:val="40"/>
        </w:numPr>
      </w:pPr>
      <w:r>
        <w:lastRenderedPageBreak/>
        <w:t>As a practical matter, you can generally set this to the current year tax rate after removing the effect of non-recurring items.</w:t>
      </w:r>
    </w:p>
    <w:p w:rsidR="00435FCF" w:rsidRDefault="00F930E6" w:rsidP="00435FCF">
      <w:pPr>
        <w:pStyle w:val="Heading2"/>
      </w:pPr>
      <w:r>
        <w:t>Deleveraging</w:t>
      </w:r>
      <w:r w:rsidR="00435FCF">
        <w:t xml:space="preserve"> analyst forecasts to derive </w:t>
      </w:r>
      <w:r w:rsidR="009A31BF">
        <w:t>enterprise profit</w:t>
      </w:r>
    </w:p>
    <w:p w:rsidR="00254949" w:rsidRDefault="00254949" w:rsidP="00AC3876">
      <w:pPr>
        <w:pStyle w:val="BodyText"/>
        <w:numPr>
          <w:ilvl w:val="0"/>
          <w:numId w:val="40"/>
        </w:numPr>
      </w:pPr>
      <w:r>
        <w:t>Start with net income = EPS * number of shares outstanding</w:t>
      </w:r>
    </w:p>
    <w:p w:rsidR="00254949" w:rsidRDefault="00254949" w:rsidP="00AC3876">
      <w:pPr>
        <w:pStyle w:val="BodyText"/>
        <w:numPr>
          <w:ilvl w:val="0"/>
          <w:numId w:val="40"/>
        </w:numPr>
      </w:pPr>
      <w:r>
        <w:t>Add back interest expense, net of tax = interest expense * (1-tax rate)</w:t>
      </w:r>
    </w:p>
    <w:p w:rsidR="00254949" w:rsidRDefault="007A2647" w:rsidP="00AC3876">
      <w:pPr>
        <w:pStyle w:val="BodyText"/>
        <w:numPr>
          <w:ilvl w:val="0"/>
          <w:numId w:val="40"/>
        </w:numPr>
      </w:pPr>
      <w:r>
        <w:t xml:space="preserve">= </w:t>
      </w:r>
      <w:smartTag w:uri="urn:schemas-microsoft-com:office:smarttags" w:element="City">
        <w:smartTag w:uri="urn:schemas-microsoft-com:office:smarttags" w:element="place">
          <w:r w:rsidR="009A31BF">
            <w:t>Enterprise</w:t>
          </w:r>
        </w:smartTag>
      </w:smartTag>
      <w:r w:rsidR="009A31BF">
        <w:t xml:space="preserve"> profit</w:t>
      </w:r>
      <w:r w:rsidR="00254949">
        <w:t xml:space="preserve">, net of tax implied </w:t>
      </w:r>
      <w:r w:rsidR="0070604F">
        <w:t xml:space="preserve">by the analyst </w:t>
      </w:r>
      <w:r w:rsidR="00891F74">
        <w:t xml:space="preserve">EPS </w:t>
      </w:r>
      <w:r w:rsidR="0070604F">
        <w:t>forecasts</w:t>
      </w:r>
    </w:p>
    <w:p w:rsidR="00144FE1" w:rsidRDefault="00144FE1" w:rsidP="00144FE1">
      <w:pPr>
        <w:pStyle w:val="Heading2"/>
      </w:pPr>
      <w:r>
        <w:t xml:space="preserve">Comparing </w:t>
      </w:r>
      <w:r w:rsidR="009A31BF">
        <w:t>enterprise</w:t>
      </w:r>
      <w:r>
        <w:t xml:space="preserve"> and net margins</w:t>
      </w:r>
    </w:p>
    <w:p w:rsidR="00A0434A" w:rsidRDefault="00467991" w:rsidP="00AC3876">
      <w:pPr>
        <w:pStyle w:val="BodyText"/>
        <w:numPr>
          <w:ilvl w:val="0"/>
          <w:numId w:val="40"/>
        </w:numPr>
      </w:pPr>
      <w:smartTag w:uri="urn:schemas-microsoft-com:office:smarttags" w:element="City">
        <w:r>
          <w:t>E</w:t>
        </w:r>
        <w:r w:rsidR="009A31BF">
          <w:t>nterprise</w:t>
        </w:r>
      </w:smartTag>
      <w:r w:rsidR="00A0434A">
        <w:t xml:space="preserve"> </w:t>
      </w:r>
      <w:r w:rsidR="00F56FEE">
        <w:t xml:space="preserve">profit </w:t>
      </w:r>
      <w:r w:rsidR="00A0434A">
        <w:t>margin</w:t>
      </w:r>
      <w:r>
        <w:t xml:space="preserve"> after tax</w:t>
      </w:r>
      <w:r w:rsidR="00A0434A">
        <w:t xml:space="preserve"> = </w:t>
      </w:r>
      <w:smartTag w:uri="urn:schemas-microsoft-com:office:smarttags" w:element="City">
        <w:smartTag w:uri="urn:schemas-microsoft-com:office:smarttags" w:element="place">
          <w:r w:rsidR="009A31BF">
            <w:t>Enterprise</w:t>
          </w:r>
        </w:smartTag>
      </w:smartTag>
      <w:r w:rsidR="009A31BF">
        <w:t xml:space="preserve"> profit</w:t>
      </w:r>
      <w:r w:rsidR="00F56FEE">
        <w:t xml:space="preserve"> after </w:t>
      </w:r>
      <w:r w:rsidR="00144FE1">
        <w:t>tax</w:t>
      </w:r>
      <w:r w:rsidR="00F56FEE">
        <w:t xml:space="preserve"> [EPAT]</w:t>
      </w:r>
      <w:r w:rsidR="00144FE1">
        <w:t xml:space="preserve">/Sales </w:t>
      </w:r>
    </w:p>
    <w:p w:rsidR="001136C8" w:rsidRDefault="001136C8" w:rsidP="001136C8">
      <w:pPr>
        <w:pStyle w:val="BodyText"/>
        <w:numPr>
          <w:ilvl w:val="1"/>
          <w:numId w:val="40"/>
        </w:numPr>
      </w:pPr>
      <w:r>
        <w:t xml:space="preserve">This </w:t>
      </w:r>
      <w:r w:rsidR="00C35A11">
        <w:t>key metric</w:t>
      </w:r>
      <w:r>
        <w:t xml:space="preserve"> summarizes analyst views regarding the enterprise activities of the company.</w:t>
      </w:r>
    </w:p>
    <w:p w:rsidR="00254949" w:rsidRDefault="00144FE1" w:rsidP="00AC3876">
      <w:pPr>
        <w:pStyle w:val="BodyText"/>
        <w:numPr>
          <w:ilvl w:val="0"/>
          <w:numId w:val="40"/>
        </w:numPr>
      </w:pPr>
      <w:r>
        <w:t xml:space="preserve">Net margin = Net income/Sales. The relative effect of financial activities becomes visible by comparing the net margin to the </w:t>
      </w:r>
      <w:r w:rsidR="009A31BF">
        <w:t>enterprise</w:t>
      </w:r>
      <w:r>
        <w:t xml:space="preserve"> margin.</w:t>
      </w:r>
    </w:p>
    <w:p w:rsidR="00E63605" w:rsidRDefault="000A3E03" w:rsidP="00E63605">
      <w:pPr>
        <w:pStyle w:val="Heading2"/>
      </w:pPr>
      <w:r>
        <w:t>Comparing sales growth and earnings growth</w:t>
      </w:r>
    </w:p>
    <w:p w:rsidR="000A3E03" w:rsidRDefault="00E63605" w:rsidP="00AC3876">
      <w:pPr>
        <w:pStyle w:val="BodyText"/>
        <w:numPr>
          <w:ilvl w:val="0"/>
          <w:numId w:val="40"/>
        </w:numPr>
      </w:pPr>
      <w:r>
        <w:t>We start with sales growth</w:t>
      </w:r>
      <w:r w:rsidR="000A3E03">
        <w:t xml:space="preserve"> from </w:t>
      </w:r>
      <w:r w:rsidR="00B900AA">
        <w:t>Y1</w:t>
      </w:r>
      <w:r w:rsidR="0070604F">
        <w:t xml:space="preserve"> to </w:t>
      </w:r>
      <w:r w:rsidR="00B900AA">
        <w:t>Y2</w:t>
      </w:r>
      <w:r w:rsidR="000A3E03">
        <w:t>.</w:t>
      </w:r>
    </w:p>
    <w:p w:rsidR="000A3E03" w:rsidRDefault="000A3E03" w:rsidP="00AC3876">
      <w:pPr>
        <w:pStyle w:val="BodyText"/>
        <w:numPr>
          <w:ilvl w:val="0"/>
          <w:numId w:val="40"/>
        </w:numPr>
      </w:pPr>
      <w:r>
        <w:t>We then compare it with corresponding EPS growth. EPS growth differs from sales growth because of two reasons:</w:t>
      </w:r>
    </w:p>
    <w:p w:rsidR="000A3E03" w:rsidRDefault="009A31BF" w:rsidP="00AC3876">
      <w:pPr>
        <w:pStyle w:val="BodyText"/>
        <w:numPr>
          <w:ilvl w:val="1"/>
          <w:numId w:val="40"/>
        </w:numPr>
      </w:pPr>
      <w:smartTag w:uri="urn:schemas-microsoft-com:office:smarttags" w:element="City">
        <w:smartTag w:uri="urn:schemas-microsoft-com:office:smarttags" w:element="place">
          <w:r>
            <w:t>Enterprise</w:t>
          </w:r>
        </w:smartTag>
      </w:smartTag>
      <w:r w:rsidR="000A3E03">
        <w:t xml:space="preserve"> margin expansion: Analysts often forecast an improvement in </w:t>
      </w:r>
      <w:r>
        <w:t>enterprise</w:t>
      </w:r>
      <w:r w:rsidR="000A3E03">
        <w:t xml:space="preserve"> margins.</w:t>
      </w:r>
    </w:p>
    <w:p w:rsidR="000A3E03" w:rsidRDefault="000A3E03" w:rsidP="00AC3876">
      <w:pPr>
        <w:pStyle w:val="BodyText"/>
        <w:numPr>
          <w:ilvl w:val="1"/>
          <w:numId w:val="40"/>
        </w:numPr>
      </w:pPr>
      <w:r>
        <w:t>Interest expense does not grow in direct proportion to sales.</w:t>
      </w:r>
    </w:p>
    <w:p w:rsidR="000A3E03" w:rsidRDefault="000A3E03" w:rsidP="000A3E03">
      <w:pPr>
        <w:pStyle w:val="Heading2"/>
      </w:pPr>
      <w:r>
        <w:t xml:space="preserve">Dissecting growth: Earnings growth without </w:t>
      </w:r>
      <w:r w:rsidR="009A31BF">
        <w:t>enterprise</w:t>
      </w:r>
      <w:r>
        <w:t xml:space="preserve"> margin expansion</w:t>
      </w:r>
    </w:p>
    <w:p w:rsidR="0044740F" w:rsidRDefault="000A3E03" w:rsidP="0044740F">
      <w:pPr>
        <w:pStyle w:val="BodyText"/>
      </w:pPr>
      <w:r>
        <w:t xml:space="preserve">To </w:t>
      </w:r>
      <w:r w:rsidR="00E05C01">
        <w:t>extract</w:t>
      </w:r>
      <w:r>
        <w:t xml:space="preserve"> the effect of </w:t>
      </w:r>
      <w:r w:rsidR="009A31BF">
        <w:t>enterprise</w:t>
      </w:r>
      <w:r>
        <w:t xml:space="preserve"> margin expansion, we recompute </w:t>
      </w:r>
      <w:r w:rsidR="009A31BF">
        <w:t>enterprise profit</w:t>
      </w:r>
      <w:r>
        <w:t xml:space="preserve"> by assuming that the </w:t>
      </w:r>
      <w:r w:rsidR="009A31BF">
        <w:t>enterprise</w:t>
      </w:r>
      <w:r>
        <w:t xml:space="preserve"> margin </w:t>
      </w:r>
      <w:r w:rsidR="0044740F">
        <w:t xml:space="preserve">remains unchanged from </w:t>
      </w:r>
      <w:r w:rsidR="00E05C01">
        <w:t>Y1 to Y2.</w:t>
      </w:r>
    </w:p>
    <w:p w:rsidR="0044740F" w:rsidRDefault="00A621BE" w:rsidP="00AC3876">
      <w:pPr>
        <w:pStyle w:val="BodyText"/>
        <w:numPr>
          <w:ilvl w:val="0"/>
          <w:numId w:val="40"/>
        </w:numPr>
      </w:pPr>
      <w:r>
        <w:t>S</w:t>
      </w:r>
      <w:r w:rsidR="0044740F">
        <w:t xml:space="preserve">tart with sales in </w:t>
      </w:r>
      <w:r w:rsidR="00647C1F">
        <w:t>Y2</w:t>
      </w:r>
      <w:r w:rsidR="0044740F">
        <w:t>.</w:t>
      </w:r>
    </w:p>
    <w:p w:rsidR="0044740F" w:rsidRDefault="00A621BE" w:rsidP="00AC3876">
      <w:pPr>
        <w:pStyle w:val="BodyText"/>
        <w:numPr>
          <w:ilvl w:val="0"/>
          <w:numId w:val="40"/>
        </w:numPr>
      </w:pPr>
      <w:r>
        <w:t>A</w:t>
      </w:r>
      <w:r w:rsidR="0044740F">
        <w:t xml:space="preserve">ssume that the </w:t>
      </w:r>
      <w:r w:rsidR="009A31BF">
        <w:t>enterprise</w:t>
      </w:r>
      <w:r w:rsidR="0044740F">
        <w:t xml:space="preserve"> margin, after tax will remain unchanged from </w:t>
      </w:r>
      <w:r w:rsidR="00647C1F">
        <w:t>Y1</w:t>
      </w:r>
      <w:r w:rsidR="0044740F">
        <w:t>.</w:t>
      </w:r>
    </w:p>
    <w:p w:rsidR="0044740F" w:rsidRDefault="00A621BE" w:rsidP="00AC3876">
      <w:pPr>
        <w:pStyle w:val="BodyText"/>
        <w:numPr>
          <w:ilvl w:val="0"/>
          <w:numId w:val="40"/>
        </w:numPr>
      </w:pPr>
      <w:r>
        <w:t>M</w:t>
      </w:r>
      <w:r w:rsidR="0044740F">
        <w:t xml:space="preserve">ultiply sales by </w:t>
      </w:r>
      <w:r w:rsidR="009A31BF">
        <w:t>enterprise</w:t>
      </w:r>
      <w:r w:rsidR="0044740F">
        <w:t xml:space="preserve"> margin, after tax from </w:t>
      </w:r>
      <w:r w:rsidR="00647C1F">
        <w:t>Y1</w:t>
      </w:r>
      <w:r w:rsidR="0044740F">
        <w:t xml:space="preserve"> to derive </w:t>
      </w:r>
      <w:r w:rsidR="009A31BF">
        <w:t>enterprise profit</w:t>
      </w:r>
      <w:r w:rsidR="0044740F">
        <w:t>, after tax.</w:t>
      </w:r>
    </w:p>
    <w:p w:rsidR="0044740F" w:rsidRDefault="00A621BE" w:rsidP="00AC3876">
      <w:pPr>
        <w:pStyle w:val="BodyText"/>
        <w:numPr>
          <w:ilvl w:val="0"/>
          <w:numId w:val="40"/>
        </w:numPr>
      </w:pPr>
      <w:r>
        <w:t>S</w:t>
      </w:r>
      <w:r w:rsidR="0044740F">
        <w:t>ubtract the after-tax interest expense computed earlier.</w:t>
      </w:r>
    </w:p>
    <w:p w:rsidR="0044740F" w:rsidRDefault="0044740F" w:rsidP="00AC3876">
      <w:pPr>
        <w:pStyle w:val="BodyText"/>
        <w:numPr>
          <w:ilvl w:val="0"/>
          <w:numId w:val="40"/>
        </w:numPr>
      </w:pPr>
      <w:r>
        <w:t xml:space="preserve">This gives us the re-estimated net income without </w:t>
      </w:r>
      <w:r w:rsidR="009A31BF">
        <w:t>enterprise</w:t>
      </w:r>
      <w:r>
        <w:t xml:space="preserve"> margin expansion.</w:t>
      </w:r>
    </w:p>
    <w:p w:rsidR="0044740F" w:rsidRDefault="00A621BE" w:rsidP="00AC3876">
      <w:pPr>
        <w:pStyle w:val="BodyText"/>
        <w:numPr>
          <w:ilvl w:val="0"/>
          <w:numId w:val="40"/>
        </w:numPr>
      </w:pPr>
      <w:r>
        <w:t>D</w:t>
      </w:r>
      <w:r w:rsidR="0044740F">
        <w:t>ivide by the number of shares outstanding in Y2 to derive the new EPS</w:t>
      </w:r>
      <w:r w:rsidR="0044740F" w:rsidRPr="00647C1F">
        <w:rPr>
          <w:vertAlign w:val="subscript"/>
        </w:rPr>
        <w:t>2</w:t>
      </w:r>
      <w:r w:rsidR="0044740F">
        <w:t>.</w:t>
      </w:r>
    </w:p>
    <w:p w:rsidR="0044740F" w:rsidRDefault="00A621BE" w:rsidP="00AC3876">
      <w:pPr>
        <w:pStyle w:val="BodyText"/>
        <w:numPr>
          <w:ilvl w:val="0"/>
          <w:numId w:val="40"/>
        </w:numPr>
      </w:pPr>
      <w:r>
        <w:t>C</w:t>
      </w:r>
      <w:r w:rsidR="0044740F">
        <w:t>ompute the</w:t>
      </w:r>
      <w:r w:rsidR="00C019AD">
        <w:t xml:space="preserve"> revised growth rate in EPS</w:t>
      </w:r>
      <w:r w:rsidR="00C019AD" w:rsidRPr="00647C1F">
        <w:rPr>
          <w:vertAlign w:val="subscript"/>
        </w:rPr>
        <w:t>2</w:t>
      </w:r>
      <w:r w:rsidR="00C019AD">
        <w:t>.</w:t>
      </w:r>
      <w:r w:rsidR="0099779E">
        <w:t xml:space="preserve"> This should be compared with EPS</w:t>
      </w:r>
      <w:r w:rsidR="0099779E" w:rsidRPr="00647C1F">
        <w:rPr>
          <w:vertAlign w:val="subscript"/>
        </w:rPr>
        <w:t>2</w:t>
      </w:r>
      <w:r w:rsidR="0099779E">
        <w:t xml:space="preserve"> growth rate without adjustments.</w:t>
      </w:r>
    </w:p>
    <w:p w:rsidR="0099779E" w:rsidRDefault="0099779E" w:rsidP="0099779E">
      <w:pPr>
        <w:pStyle w:val="Heading2"/>
      </w:pPr>
      <w:r>
        <w:t xml:space="preserve">Dissecting growth: Earnings growth </w:t>
      </w:r>
      <w:r w:rsidR="00813848">
        <w:t>adjusted for</w:t>
      </w:r>
      <w:r>
        <w:t xml:space="preserve"> dividend payout</w:t>
      </w:r>
    </w:p>
    <w:p w:rsidR="00267FE1" w:rsidRDefault="0099779E" w:rsidP="00267FE1">
      <w:pPr>
        <w:pStyle w:val="BodyText"/>
      </w:pPr>
      <w:r>
        <w:t>Another</w:t>
      </w:r>
      <w:r w:rsidR="00267FE1">
        <w:t xml:space="preserve"> factor affecting earnings growth is dividend payout. Dividend payout reduces reinvestment and thereby reduces earnings growth.</w:t>
      </w:r>
    </w:p>
    <w:p w:rsidR="000C0E3C" w:rsidRDefault="000C0E3C" w:rsidP="00AC3876">
      <w:pPr>
        <w:pStyle w:val="BodyText"/>
        <w:numPr>
          <w:ilvl w:val="0"/>
          <w:numId w:val="40"/>
        </w:numPr>
      </w:pPr>
      <w:r>
        <w:t>Input: Discount factor or the opportunit</w:t>
      </w:r>
      <w:r w:rsidR="004C2E19">
        <w:t>y cost of equity.</w:t>
      </w:r>
    </w:p>
    <w:p w:rsidR="00952B18" w:rsidRDefault="00952B18" w:rsidP="00AC3876">
      <w:pPr>
        <w:pStyle w:val="BodyText"/>
        <w:numPr>
          <w:ilvl w:val="0"/>
          <w:numId w:val="40"/>
        </w:numPr>
      </w:pPr>
      <w:r>
        <w:t>Input:</w:t>
      </w:r>
      <w:r w:rsidR="0070604F">
        <w:t xml:space="preserve"> Dividend payout ratio for </w:t>
      </w:r>
      <w:r w:rsidR="00B900AA">
        <w:t>Y1</w:t>
      </w:r>
      <w:r>
        <w:t>, extrapolated from the past record</w:t>
      </w:r>
    </w:p>
    <w:p w:rsidR="00952B18" w:rsidRDefault="00952B18" w:rsidP="00AC3876">
      <w:pPr>
        <w:pStyle w:val="BodyText"/>
        <w:numPr>
          <w:ilvl w:val="0"/>
          <w:numId w:val="40"/>
        </w:numPr>
      </w:pPr>
      <w:r>
        <w:t xml:space="preserve">Dividends </w:t>
      </w:r>
      <w:r w:rsidR="004031BE">
        <w:t xml:space="preserve">per share for </w:t>
      </w:r>
      <w:r w:rsidR="00B900AA">
        <w:t>Y1</w:t>
      </w:r>
      <w:r>
        <w:t xml:space="preserve">= </w:t>
      </w:r>
      <w:r w:rsidR="004031BE">
        <w:t>EPS</w:t>
      </w:r>
      <w:r w:rsidR="004031BE" w:rsidRPr="00647C1F">
        <w:rPr>
          <w:vertAlign w:val="subscript"/>
        </w:rPr>
        <w:t>1</w:t>
      </w:r>
      <w:r w:rsidR="004031BE">
        <w:t xml:space="preserve"> * Payout ratio</w:t>
      </w:r>
    </w:p>
    <w:p w:rsidR="00D95E50" w:rsidRDefault="000A2A34" w:rsidP="00AC3876">
      <w:pPr>
        <w:pStyle w:val="BodyText"/>
        <w:numPr>
          <w:ilvl w:val="0"/>
          <w:numId w:val="40"/>
        </w:numPr>
      </w:pPr>
      <w:r>
        <w:t>We assume that DPS</w:t>
      </w:r>
      <w:r w:rsidRPr="00F03BD2">
        <w:rPr>
          <w:vertAlign w:val="subscript"/>
        </w:rPr>
        <w:t>1</w:t>
      </w:r>
      <w:r>
        <w:t xml:space="preserve"> could be reinvested by the firm to yield a return </w:t>
      </w:r>
      <w:r w:rsidR="00D95E50">
        <w:t>at the rate of</w:t>
      </w:r>
      <w:r>
        <w:t xml:space="preserve"> cost of equity. Thus, the earnings foregone due to</w:t>
      </w:r>
      <w:r w:rsidR="00D95E50">
        <w:t xml:space="preserve"> DPS1 equal DPS1 * Cost of equity.</w:t>
      </w:r>
    </w:p>
    <w:p w:rsidR="00D95E50" w:rsidRDefault="00D95E50" w:rsidP="00AC3876">
      <w:pPr>
        <w:pStyle w:val="BodyText"/>
        <w:numPr>
          <w:ilvl w:val="0"/>
          <w:numId w:val="40"/>
        </w:numPr>
      </w:pPr>
      <w:r w:rsidRPr="00D95E50">
        <w:t>Adjusted EPS</w:t>
      </w:r>
      <w:r w:rsidRPr="00647C1F">
        <w:rPr>
          <w:vertAlign w:val="subscript"/>
        </w:rPr>
        <w:t>2</w:t>
      </w:r>
      <w:r w:rsidRPr="00D95E50">
        <w:t xml:space="preserve"> = EPS</w:t>
      </w:r>
      <w:r w:rsidRPr="00647C1F">
        <w:rPr>
          <w:vertAlign w:val="subscript"/>
        </w:rPr>
        <w:t>2</w:t>
      </w:r>
      <w:r w:rsidRPr="00D95E50">
        <w:t xml:space="preserve"> + Earnings foregone on DPS</w:t>
      </w:r>
      <w:r w:rsidRPr="00647C1F">
        <w:rPr>
          <w:vertAlign w:val="subscript"/>
        </w:rPr>
        <w:t>1</w:t>
      </w:r>
    </w:p>
    <w:p w:rsidR="00D95E50" w:rsidRDefault="00D95E50" w:rsidP="00AC3876">
      <w:pPr>
        <w:pStyle w:val="BodyText"/>
        <w:numPr>
          <w:ilvl w:val="0"/>
          <w:numId w:val="40"/>
        </w:numPr>
      </w:pPr>
      <w:r>
        <w:t>We compute the revised growth rate in EPS</w:t>
      </w:r>
      <w:r w:rsidRPr="00647C1F">
        <w:rPr>
          <w:vertAlign w:val="subscript"/>
        </w:rPr>
        <w:t>2</w:t>
      </w:r>
      <w:r>
        <w:t>.</w:t>
      </w:r>
    </w:p>
    <w:p w:rsidR="00CE61E4" w:rsidRPr="005F72BC" w:rsidRDefault="00CE61E4" w:rsidP="005F72BC"/>
    <w:sectPr w:rsidR="00CE61E4" w:rsidRPr="005F72BC" w:rsidSect="00465A1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8B" w:rsidRDefault="00F00B8B">
      <w:r>
        <w:separator/>
      </w:r>
    </w:p>
  </w:endnote>
  <w:endnote w:type="continuationSeparator" w:id="0">
    <w:p w:rsidR="00F00B8B" w:rsidRDefault="00F0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79" w:rsidRDefault="00927979" w:rsidP="00FD3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E6F">
      <w:rPr>
        <w:rStyle w:val="PageNumber"/>
        <w:noProof/>
      </w:rPr>
      <w:t>1</w:t>
    </w:r>
    <w:r>
      <w:rPr>
        <w:rStyle w:val="PageNumber"/>
      </w:rPr>
      <w:fldChar w:fldCharType="end"/>
    </w:r>
  </w:p>
  <w:p w:rsidR="00927979" w:rsidRDefault="00927979" w:rsidP="00FD3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79" w:rsidRDefault="00927979" w:rsidP="00F44AF6">
    <w:pPr>
      <w:pStyle w:val="Footer"/>
      <w:tabs>
        <w:tab w:val="clear" w:pos="4320"/>
      </w:tabs>
    </w:pPr>
    <w:r>
      <w:fldChar w:fldCharType="begin"/>
    </w:r>
    <w:r>
      <w:instrText xml:space="preserve"> DATE \@ "MMMM d, yyyy" </w:instrText>
    </w:r>
    <w:r>
      <w:fldChar w:fldCharType="separate"/>
    </w:r>
    <w:r w:rsidR="00D639CD">
      <w:rPr>
        <w:noProof/>
      </w:rPr>
      <w:t>September 3, 2016</w:t>
    </w:r>
    <w:r>
      <w:fldChar w:fldCharType="end"/>
    </w:r>
    <w:r>
      <w:t xml:space="preserve"> Visit </w:t>
    </w:r>
    <w:hyperlink r:id="rId1" w:history="1">
      <w:r w:rsidRPr="00744C6D">
        <w:rPr>
          <w:rStyle w:val="Hyperlink"/>
        </w:rPr>
        <w:t>http://www.godeohlson.com/</w:t>
      </w:r>
    </w:hyperlink>
    <w:r>
      <w:t xml:space="preserve"> for updates. </w:t>
    </w:r>
    <w:r>
      <w:tab/>
    </w:r>
    <w:r>
      <w:fldChar w:fldCharType="begin"/>
    </w:r>
    <w:r>
      <w:instrText xml:space="preserve"> PAGE </w:instrText>
    </w:r>
    <w:r>
      <w:fldChar w:fldCharType="separate"/>
    </w:r>
    <w:r w:rsidR="00D639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8B" w:rsidRDefault="00F00B8B">
      <w:r>
        <w:separator/>
      </w:r>
    </w:p>
  </w:footnote>
  <w:footnote w:type="continuationSeparator" w:id="0">
    <w:p w:rsidR="00F00B8B" w:rsidRDefault="00F0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79" w:rsidRDefault="00927979" w:rsidP="00F44AF6">
    <w:pPr>
      <w:pStyle w:val="Header"/>
      <w:tabs>
        <w:tab w:val="clear" w:pos="4320"/>
      </w:tabs>
    </w:pPr>
    <w:r>
      <w:t>Adjusting Analyst Forecasts</w:t>
    </w:r>
    <w:r>
      <w:tab/>
    </w:r>
    <w:r>
      <w:rPr>
        <w:rStyle w:val="PageNumber"/>
      </w:rPr>
      <w:fldChar w:fldCharType="begin"/>
    </w:r>
    <w:r>
      <w:rPr>
        <w:rStyle w:val="PageNumber"/>
      </w:rPr>
      <w:instrText xml:space="preserve"> PAGE </w:instrText>
    </w:r>
    <w:r>
      <w:rPr>
        <w:rStyle w:val="PageNumber"/>
      </w:rPr>
      <w:fldChar w:fldCharType="separate"/>
    </w:r>
    <w:r w:rsidR="00D639CD">
      <w:rPr>
        <w:rStyle w:val="PageNumber"/>
        <w:noProof/>
      </w:rPr>
      <w:t>1</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2CF"/>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9E480A"/>
    <w:multiLevelType w:val="multilevel"/>
    <w:tmpl w:val="29529492"/>
    <w:numStyleLink w:val="ListBulleted"/>
  </w:abstractNum>
  <w:abstractNum w:abstractNumId="2" w15:restartNumberingAfterBreak="0">
    <w:nsid w:val="052C1154"/>
    <w:multiLevelType w:val="multilevel"/>
    <w:tmpl w:val="E30E3590"/>
    <w:numStyleLink w:val="ListOutlineNumbered"/>
  </w:abstractNum>
  <w:abstractNum w:abstractNumId="3" w15:restartNumberingAfterBreak="0">
    <w:nsid w:val="05AB17F5"/>
    <w:multiLevelType w:val="hybridMultilevel"/>
    <w:tmpl w:val="34B6A370"/>
    <w:lvl w:ilvl="0" w:tplc="FCE0DF1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16097A30"/>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7"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E0BC0"/>
    <w:multiLevelType w:val="multilevel"/>
    <w:tmpl w:val="50EE0E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32739B2"/>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E6AB8"/>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EB7E82"/>
    <w:multiLevelType w:val="multilevel"/>
    <w:tmpl w:val="29529492"/>
    <w:numStyleLink w:val="ListBulleted"/>
  </w:abstractNum>
  <w:abstractNum w:abstractNumId="13"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14" w15:restartNumberingAfterBreak="0">
    <w:nsid w:val="30805B43"/>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5E3195"/>
    <w:multiLevelType w:val="multilevel"/>
    <w:tmpl w:val="E30E3590"/>
    <w:numStyleLink w:val="ListOutlineNumbered"/>
  </w:abstractNum>
  <w:abstractNum w:abstractNumId="17"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E4CF7"/>
    <w:multiLevelType w:val="multilevel"/>
    <w:tmpl w:val="29529492"/>
    <w:numStyleLink w:val="ListBulleted"/>
  </w:abstractNum>
  <w:abstractNum w:abstractNumId="19"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20" w15:restartNumberingAfterBreak="0">
    <w:nsid w:val="47705053"/>
    <w:multiLevelType w:val="multilevel"/>
    <w:tmpl w:val="0BDE7F6A"/>
    <w:numStyleLink w:val="StyleOutlinenumbered"/>
  </w:abstractNum>
  <w:abstractNum w:abstractNumId="21" w15:restartNumberingAfterBreak="0">
    <w:nsid w:val="48552F54"/>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582808"/>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83D7305"/>
    <w:multiLevelType w:val="multilevel"/>
    <w:tmpl w:val="0BDE7F6A"/>
    <w:numStyleLink w:val="StyleOutlinenumbered"/>
  </w:abstractNum>
  <w:abstractNum w:abstractNumId="25" w15:restartNumberingAfterBreak="0">
    <w:nsid w:val="598A3D4F"/>
    <w:multiLevelType w:val="multilevel"/>
    <w:tmpl w:val="0BDE7F6A"/>
    <w:numStyleLink w:val="StyleOutlinenumbered"/>
  </w:abstractNum>
  <w:abstractNum w:abstractNumId="26" w15:restartNumberingAfterBreak="0">
    <w:nsid w:val="5C225B3B"/>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28" w15:restartNumberingAfterBreak="0">
    <w:nsid w:val="6434688D"/>
    <w:multiLevelType w:val="hybridMultilevel"/>
    <w:tmpl w:val="D0CEE7FA"/>
    <w:lvl w:ilvl="0" w:tplc="372C197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32"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0960D0B"/>
    <w:multiLevelType w:val="multilevel"/>
    <w:tmpl w:val="9A4CBF2E"/>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48566ED"/>
    <w:multiLevelType w:val="hybridMultilevel"/>
    <w:tmpl w:val="8C2A8880"/>
    <w:lvl w:ilvl="0" w:tplc="3B3A85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539B6"/>
    <w:multiLevelType w:val="hybridMultilevel"/>
    <w:tmpl w:val="C4A0BA78"/>
    <w:lvl w:ilvl="0" w:tplc="029E9E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B54F0"/>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8A35D45"/>
    <w:multiLevelType w:val="multilevel"/>
    <w:tmpl w:val="0BDE7F6A"/>
    <w:numStyleLink w:val="StyleOutlinenumbered"/>
  </w:abstractNum>
  <w:abstractNum w:abstractNumId="39"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F372A5D"/>
    <w:multiLevelType w:val="multilevel"/>
    <w:tmpl w:val="9A4CBF2E"/>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F7B5F5C"/>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2"/>
  </w:num>
  <w:num w:numId="2">
    <w:abstractNumId w:val="30"/>
  </w:num>
  <w:num w:numId="3">
    <w:abstractNumId w:val="31"/>
  </w:num>
  <w:num w:numId="4">
    <w:abstractNumId w:val="19"/>
  </w:num>
  <w:num w:numId="5">
    <w:abstractNumId w:val="33"/>
  </w:num>
  <w:num w:numId="6">
    <w:abstractNumId w:val="15"/>
  </w:num>
  <w:num w:numId="7">
    <w:abstractNumId w:val="35"/>
  </w:num>
  <w:num w:numId="8">
    <w:abstractNumId w:val="36"/>
  </w:num>
  <w:num w:numId="9">
    <w:abstractNumId w:val="28"/>
  </w:num>
  <w:num w:numId="10">
    <w:abstractNumId w:val="3"/>
  </w:num>
  <w:num w:numId="11">
    <w:abstractNumId w:val="16"/>
  </w:num>
  <w:num w:numId="12">
    <w:abstractNumId w:val="4"/>
  </w:num>
  <w:num w:numId="13">
    <w:abstractNumId w:val="6"/>
  </w:num>
  <w:num w:numId="14">
    <w:abstractNumId w:val="11"/>
  </w:num>
  <w:num w:numId="15">
    <w:abstractNumId w:val="14"/>
  </w:num>
  <w:num w:numId="16">
    <w:abstractNumId w:val="7"/>
  </w:num>
  <w:num w:numId="17">
    <w:abstractNumId w:val="17"/>
  </w:num>
  <w:num w:numId="18">
    <w:abstractNumId w:val="27"/>
  </w:num>
  <w:num w:numId="19">
    <w:abstractNumId w:val="0"/>
  </w:num>
  <w:num w:numId="20">
    <w:abstractNumId w:val="13"/>
  </w:num>
  <w:num w:numId="21">
    <w:abstractNumId w:val="37"/>
  </w:num>
  <w:num w:numId="22">
    <w:abstractNumId w:val="21"/>
  </w:num>
  <w:num w:numId="23">
    <w:abstractNumId w:val="22"/>
  </w:num>
  <w:num w:numId="24">
    <w:abstractNumId w:val="39"/>
  </w:num>
  <w:num w:numId="25">
    <w:abstractNumId w:val="23"/>
  </w:num>
  <w:num w:numId="26">
    <w:abstractNumId w:val="1"/>
  </w:num>
  <w:num w:numId="27">
    <w:abstractNumId w:val="10"/>
  </w:num>
  <w:num w:numId="28">
    <w:abstractNumId w:val="40"/>
  </w:num>
  <w:num w:numId="29">
    <w:abstractNumId w:val="41"/>
  </w:num>
  <w:num w:numId="30">
    <w:abstractNumId w:val="26"/>
  </w:num>
  <w:num w:numId="31">
    <w:abstractNumId w:val="9"/>
  </w:num>
  <w:num w:numId="32">
    <w:abstractNumId w:val="5"/>
  </w:num>
  <w:num w:numId="33">
    <w:abstractNumId w:val="29"/>
  </w:num>
  <w:num w:numId="34">
    <w:abstractNumId w:val="34"/>
  </w:num>
  <w:num w:numId="35">
    <w:abstractNumId w:val="20"/>
  </w:num>
  <w:num w:numId="36">
    <w:abstractNumId w:val="38"/>
  </w:num>
  <w:num w:numId="37">
    <w:abstractNumId w:val="24"/>
  </w:num>
  <w:num w:numId="38">
    <w:abstractNumId w:val="25"/>
  </w:num>
  <w:num w:numId="39">
    <w:abstractNumId w:val="8"/>
  </w:num>
  <w:num w:numId="40">
    <w:abstractNumId w:val="2"/>
  </w:num>
  <w:num w:numId="41">
    <w:abstractNumId w:val="1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o:colormru v:ext="edit" colors="#ccecff"/>
    </o:shapedefaults>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E6"/>
    <w:rsid w:val="00001EF6"/>
    <w:rsid w:val="00017D15"/>
    <w:rsid w:val="0002438F"/>
    <w:rsid w:val="00025853"/>
    <w:rsid w:val="000645DF"/>
    <w:rsid w:val="00073888"/>
    <w:rsid w:val="0007727C"/>
    <w:rsid w:val="00077BD3"/>
    <w:rsid w:val="0009206A"/>
    <w:rsid w:val="000940B5"/>
    <w:rsid w:val="000967A5"/>
    <w:rsid w:val="00097B45"/>
    <w:rsid w:val="000A17AA"/>
    <w:rsid w:val="000A18CA"/>
    <w:rsid w:val="000A2A34"/>
    <w:rsid w:val="000A3E03"/>
    <w:rsid w:val="000B4E18"/>
    <w:rsid w:val="000C017B"/>
    <w:rsid w:val="000C0E3C"/>
    <w:rsid w:val="000E111C"/>
    <w:rsid w:val="000F0657"/>
    <w:rsid w:val="001136C8"/>
    <w:rsid w:val="001239A5"/>
    <w:rsid w:val="00131B50"/>
    <w:rsid w:val="00144FE1"/>
    <w:rsid w:val="00165EB4"/>
    <w:rsid w:val="001663DA"/>
    <w:rsid w:val="00192EFF"/>
    <w:rsid w:val="00195DAD"/>
    <w:rsid w:val="001A39B6"/>
    <w:rsid w:val="001B4F87"/>
    <w:rsid w:val="001C06D8"/>
    <w:rsid w:val="001E2E02"/>
    <w:rsid w:val="001F0F84"/>
    <w:rsid w:val="00202972"/>
    <w:rsid w:val="00212994"/>
    <w:rsid w:val="00254949"/>
    <w:rsid w:val="002613E3"/>
    <w:rsid w:val="00267FE1"/>
    <w:rsid w:val="002A43BE"/>
    <w:rsid w:val="002B50CA"/>
    <w:rsid w:val="002B6080"/>
    <w:rsid w:val="002E2F44"/>
    <w:rsid w:val="002E64BB"/>
    <w:rsid w:val="002F383A"/>
    <w:rsid w:val="0032547D"/>
    <w:rsid w:val="00331096"/>
    <w:rsid w:val="00345C52"/>
    <w:rsid w:val="003554C1"/>
    <w:rsid w:val="003631C3"/>
    <w:rsid w:val="00364247"/>
    <w:rsid w:val="00372140"/>
    <w:rsid w:val="00391798"/>
    <w:rsid w:val="003B2E42"/>
    <w:rsid w:val="003B5336"/>
    <w:rsid w:val="003E5C41"/>
    <w:rsid w:val="003E77D9"/>
    <w:rsid w:val="003F2700"/>
    <w:rsid w:val="004003DD"/>
    <w:rsid w:val="0040176A"/>
    <w:rsid w:val="004031BE"/>
    <w:rsid w:val="0041608E"/>
    <w:rsid w:val="00431A50"/>
    <w:rsid w:val="00435FCF"/>
    <w:rsid w:val="0044740F"/>
    <w:rsid w:val="00465A10"/>
    <w:rsid w:val="00467991"/>
    <w:rsid w:val="00475B6A"/>
    <w:rsid w:val="00476E6F"/>
    <w:rsid w:val="004771F1"/>
    <w:rsid w:val="00481967"/>
    <w:rsid w:val="0049556F"/>
    <w:rsid w:val="004A3E05"/>
    <w:rsid w:val="004B3984"/>
    <w:rsid w:val="004B794B"/>
    <w:rsid w:val="004C2E19"/>
    <w:rsid w:val="00502F82"/>
    <w:rsid w:val="00507AE6"/>
    <w:rsid w:val="0052313D"/>
    <w:rsid w:val="00553B3F"/>
    <w:rsid w:val="0055444B"/>
    <w:rsid w:val="00557A10"/>
    <w:rsid w:val="00572DC8"/>
    <w:rsid w:val="00576F1A"/>
    <w:rsid w:val="00580AC5"/>
    <w:rsid w:val="00591E8E"/>
    <w:rsid w:val="005C0124"/>
    <w:rsid w:val="005F3B34"/>
    <w:rsid w:val="005F72BC"/>
    <w:rsid w:val="00623C9E"/>
    <w:rsid w:val="00647C1F"/>
    <w:rsid w:val="0065195C"/>
    <w:rsid w:val="00651FD3"/>
    <w:rsid w:val="00680680"/>
    <w:rsid w:val="006A14CF"/>
    <w:rsid w:val="006A1E1D"/>
    <w:rsid w:val="006D1EBD"/>
    <w:rsid w:val="006E0EFC"/>
    <w:rsid w:val="006E4E88"/>
    <w:rsid w:val="0070604F"/>
    <w:rsid w:val="00713D23"/>
    <w:rsid w:val="00735C1B"/>
    <w:rsid w:val="00745D94"/>
    <w:rsid w:val="00776B78"/>
    <w:rsid w:val="00785D61"/>
    <w:rsid w:val="007A2647"/>
    <w:rsid w:val="007B3C1B"/>
    <w:rsid w:val="007C6785"/>
    <w:rsid w:val="007C68CE"/>
    <w:rsid w:val="007D0EE2"/>
    <w:rsid w:val="007D5244"/>
    <w:rsid w:val="00813848"/>
    <w:rsid w:val="00841761"/>
    <w:rsid w:val="00876C0E"/>
    <w:rsid w:val="00891F74"/>
    <w:rsid w:val="008B0AC5"/>
    <w:rsid w:val="008B1F0B"/>
    <w:rsid w:val="008B2A9F"/>
    <w:rsid w:val="008C5A5F"/>
    <w:rsid w:val="008D343D"/>
    <w:rsid w:val="008D5B2E"/>
    <w:rsid w:val="008F0777"/>
    <w:rsid w:val="00917605"/>
    <w:rsid w:val="00927979"/>
    <w:rsid w:val="00931B73"/>
    <w:rsid w:val="00952B18"/>
    <w:rsid w:val="00983445"/>
    <w:rsid w:val="00990188"/>
    <w:rsid w:val="0099779E"/>
    <w:rsid w:val="009A31BF"/>
    <w:rsid w:val="009B5FCE"/>
    <w:rsid w:val="009C0C5C"/>
    <w:rsid w:val="009C7AEB"/>
    <w:rsid w:val="009E107E"/>
    <w:rsid w:val="009E14AD"/>
    <w:rsid w:val="009E7E86"/>
    <w:rsid w:val="00A01DBB"/>
    <w:rsid w:val="00A0434A"/>
    <w:rsid w:val="00A10867"/>
    <w:rsid w:val="00A23BD7"/>
    <w:rsid w:val="00A32144"/>
    <w:rsid w:val="00A621BE"/>
    <w:rsid w:val="00A6396D"/>
    <w:rsid w:val="00A64CA7"/>
    <w:rsid w:val="00A66506"/>
    <w:rsid w:val="00A85850"/>
    <w:rsid w:val="00AA0F2E"/>
    <w:rsid w:val="00AA53CD"/>
    <w:rsid w:val="00AC3876"/>
    <w:rsid w:val="00AE0693"/>
    <w:rsid w:val="00AF06F2"/>
    <w:rsid w:val="00AF196C"/>
    <w:rsid w:val="00B12B5E"/>
    <w:rsid w:val="00B202D5"/>
    <w:rsid w:val="00B27EFF"/>
    <w:rsid w:val="00B3324F"/>
    <w:rsid w:val="00B334D8"/>
    <w:rsid w:val="00B56503"/>
    <w:rsid w:val="00B647AB"/>
    <w:rsid w:val="00B71225"/>
    <w:rsid w:val="00B900AA"/>
    <w:rsid w:val="00B93A4D"/>
    <w:rsid w:val="00BA0899"/>
    <w:rsid w:val="00BA2959"/>
    <w:rsid w:val="00BB7AF9"/>
    <w:rsid w:val="00BC0EC2"/>
    <w:rsid w:val="00BC20E1"/>
    <w:rsid w:val="00BD2D81"/>
    <w:rsid w:val="00BE3FC7"/>
    <w:rsid w:val="00C019AD"/>
    <w:rsid w:val="00C03ED6"/>
    <w:rsid w:val="00C16C8E"/>
    <w:rsid w:val="00C35A11"/>
    <w:rsid w:val="00C60DEE"/>
    <w:rsid w:val="00C839DA"/>
    <w:rsid w:val="00C900AD"/>
    <w:rsid w:val="00C93558"/>
    <w:rsid w:val="00C95F7B"/>
    <w:rsid w:val="00CA4FF9"/>
    <w:rsid w:val="00CB71DC"/>
    <w:rsid w:val="00CC16EC"/>
    <w:rsid w:val="00CD1700"/>
    <w:rsid w:val="00CD552B"/>
    <w:rsid w:val="00CE2B27"/>
    <w:rsid w:val="00CE61E4"/>
    <w:rsid w:val="00D160FF"/>
    <w:rsid w:val="00D31503"/>
    <w:rsid w:val="00D52221"/>
    <w:rsid w:val="00D52681"/>
    <w:rsid w:val="00D52DF8"/>
    <w:rsid w:val="00D54CC3"/>
    <w:rsid w:val="00D613BF"/>
    <w:rsid w:val="00D639CD"/>
    <w:rsid w:val="00D73865"/>
    <w:rsid w:val="00D75380"/>
    <w:rsid w:val="00D87CD2"/>
    <w:rsid w:val="00D95E50"/>
    <w:rsid w:val="00DB4D43"/>
    <w:rsid w:val="00DB5F13"/>
    <w:rsid w:val="00DE2514"/>
    <w:rsid w:val="00DF421D"/>
    <w:rsid w:val="00DF6AC3"/>
    <w:rsid w:val="00E05C01"/>
    <w:rsid w:val="00E12388"/>
    <w:rsid w:val="00E248E3"/>
    <w:rsid w:val="00E261C1"/>
    <w:rsid w:val="00E26929"/>
    <w:rsid w:val="00E40F4B"/>
    <w:rsid w:val="00E41471"/>
    <w:rsid w:val="00E4648F"/>
    <w:rsid w:val="00E57B2F"/>
    <w:rsid w:val="00E63605"/>
    <w:rsid w:val="00E85D8B"/>
    <w:rsid w:val="00E948C0"/>
    <w:rsid w:val="00EA069E"/>
    <w:rsid w:val="00EA50D7"/>
    <w:rsid w:val="00EF1390"/>
    <w:rsid w:val="00F00B8B"/>
    <w:rsid w:val="00F00B96"/>
    <w:rsid w:val="00F03BD2"/>
    <w:rsid w:val="00F44AF6"/>
    <w:rsid w:val="00F56FEE"/>
    <w:rsid w:val="00F677AA"/>
    <w:rsid w:val="00F75829"/>
    <w:rsid w:val="00F91BC2"/>
    <w:rsid w:val="00F930E6"/>
    <w:rsid w:val="00FC3993"/>
    <w:rsid w:val="00FC4983"/>
    <w:rsid w:val="00FD10C1"/>
    <w:rsid w:val="00FD361A"/>
    <w:rsid w:val="00FE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colormru v:ext="edit" colors="#ccecff"/>
    </o:shapedefaults>
    <o:shapelayout v:ext="edit">
      <o:idmap v:ext="edit" data="1"/>
    </o:shapelayout>
  </w:shapeDefaults>
  <w:decimalSymbol w:val="."/>
  <w:listSeparator w:val=","/>
  <w15:docId w15:val="{1EEEEE27-3270-469D-8A57-208F60BD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52"/>
    <w:pPr>
      <w:jc w:val="both"/>
    </w:pPr>
    <w:rPr>
      <w:kern w:val="22"/>
      <w:sz w:val="22"/>
      <w:szCs w:val="24"/>
    </w:rPr>
  </w:style>
  <w:style w:type="paragraph" w:styleId="Heading1">
    <w:name w:val="heading 1"/>
    <w:basedOn w:val="Normal"/>
    <w:next w:val="Normal"/>
    <w:qFormat/>
    <w:rsid w:val="00345C52"/>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345C52"/>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345C52"/>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345C52"/>
    <w:pPr>
      <w:keepNext/>
      <w:numPr>
        <w:ilvl w:val="3"/>
        <w:numId w:val="1"/>
      </w:numPr>
      <w:spacing w:before="120" w:after="60"/>
      <w:outlineLvl w:val="3"/>
    </w:pPr>
    <w:rPr>
      <w:b/>
      <w:bCs/>
      <w:kern w:val="0"/>
      <w:szCs w:val="28"/>
    </w:rPr>
  </w:style>
  <w:style w:type="paragraph" w:styleId="Heading5">
    <w:name w:val="heading 5"/>
    <w:basedOn w:val="Normal"/>
    <w:next w:val="Normal"/>
    <w:qFormat/>
    <w:rsid w:val="00345C52"/>
    <w:pPr>
      <w:numPr>
        <w:ilvl w:val="4"/>
        <w:numId w:val="1"/>
      </w:numPr>
      <w:spacing w:before="240" w:after="60"/>
      <w:outlineLvl w:val="4"/>
    </w:pPr>
    <w:rPr>
      <w:b/>
      <w:bCs/>
      <w:i/>
      <w:iCs/>
      <w:sz w:val="26"/>
      <w:szCs w:val="26"/>
    </w:rPr>
  </w:style>
  <w:style w:type="paragraph" w:styleId="Heading6">
    <w:name w:val="heading 6"/>
    <w:basedOn w:val="Normal"/>
    <w:next w:val="Normal"/>
    <w:qFormat/>
    <w:rsid w:val="00345C52"/>
    <w:pPr>
      <w:numPr>
        <w:ilvl w:val="5"/>
        <w:numId w:val="1"/>
      </w:numPr>
      <w:spacing w:before="240" w:after="60"/>
      <w:outlineLvl w:val="5"/>
    </w:pPr>
    <w:rPr>
      <w:b/>
      <w:bCs/>
      <w:szCs w:val="22"/>
    </w:rPr>
  </w:style>
  <w:style w:type="paragraph" w:styleId="Heading7">
    <w:name w:val="heading 7"/>
    <w:basedOn w:val="Normal"/>
    <w:next w:val="Normal"/>
    <w:qFormat/>
    <w:rsid w:val="00345C52"/>
    <w:pPr>
      <w:numPr>
        <w:ilvl w:val="6"/>
        <w:numId w:val="1"/>
      </w:numPr>
      <w:spacing w:before="240" w:after="60"/>
      <w:outlineLvl w:val="6"/>
    </w:pPr>
  </w:style>
  <w:style w:type="paragraph" w:styleId="Heading8">
    <w:name w:val="heading 8"/>
    <w:basedOn w:val="Normal"/>
    <w:next w:val="Normal"/>
    <w:qFormat/>
    <w:rsid w:val="00345C52"/>
    <w:pPr>
      <w:numPr>
        <w:ilvl w:val="7"/>
        <w:numId w:val="1"/>
      </w:numPr>
      <w:spacing w:before="240" w:after="60"/>
      <w:outlineLvl w:val="7"/>
    </w:pPr>
    <w:rPr>
      <w:i/>
      <w:iCs/>
    </w:rPr>
  </w:style>
  <w:style w:type="paragraph" w:styleId="Heading9">
    <w:name w:val="heading 9"/>
    <w:basedOn w:val="Normal"/>
    <w:next w:val="Normal"/>
    <w:qFormat/>
    <w:rsid w:val="00345C52"/>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345C52"/>
    <w:pPr>
      <w:spacing w:before="120" w:after="240"/>
      <w:ind w:left="720" w:hanging="720"/>
    </w:pPr>
  </w:style>
  <w:style w:type="paragraph" w:customStyle="1" w:styleId="6pointSpacer">
    <w:name w:val="6pointSpacer"/>
    <w:basedOn w:val="Normal"/>
    <w:rsid w:val="00CE2B27"/>
    <w:rPr>
      <w:sz w:val="12"/>
      <w:szCs w:val="12"/>
    </w:rPr>
  </w:style>
  <w:style w:type="paragraph" w:styleId="BodyText">
    <w:name w:val="Body Text"/>
    <w:basedOn w:val="Normal"/>
    <w:rsid w:val="00345C52"/>
    <w:pPr>
      <w:spacing w:after="120"/>
    </w:pPr>
  </w:style>
  <w:style w:type="paragraph" w:styleId="Caption">
    <w:name w:val="caption"/>
    <w:basedOn w:val="Normal"/>
    <w:next w:val="Normal"/>
    <w:qFormat/>
    <w:rsid w:val="00345C52"/>
    <w:pPr>
      <w:keepNext/>
      <w:spacing w:before="120" w:after="120"/>
    </w:pPr>
    <w:rPr>
      <w:b/>
      <w:bCs/>
      <w:szCs w:val="20"/>
    </w:rPr>
  </w:style>
  <w:style w:type="paragraph" w:customStyle="1" w:styleId="CenteredCaption">
    <w:name w:val="CenteredCaption"/>
    <w:basedOn w:val="Caption"/>
    <w:rsid w:val="00345C52"/>
    <w:pPr>
      <w:jc w:val="center"/>
    </w:pPr>
  </w:style>
  <w:style w:type="character" w:customStyle="1" w:styleId="Emphasize">
    <w:name w:val="Emphasize"/>
    <w:rsid w:val="00345C52"/>
    <w:rPr>
      <w:b/>
      <w:color w:val="000080"/>
    </w:rPr>
  </w:style>
  <w:style w:type="paragraph" w:styleId="Header">
    <w:name w:val="header"/>
    <w:basedOn w:val="Normal"/>
    <w:rsid w:val="00CE2B27"/>
    <w:pPr>
      <w:tabs>
        <w:tab w:val="center" w:pos="4320"/>
        <w:tab w:val="right" w:pos="9360"/>
      </w:tabs>
    </w:pPr>
    <w:rPr>
      <w:rFonts w:ascii="Arial" w:hAnsi="Arial"/>
      <w:sz w:val="16"/>
    </w:rPr>
  </w:style>
  <w:style w:type="character" w:customStyle="1" w:styleId="Italicize">
    <w:name w:val="Italicize"/>
    <w:rsid w:val="00CE2B27"/>
    <w:rPr>
      <w:i/>
      <w:color w:val="003399"/>
    </w:rPr>
  </w:style>
  <w:style w:type="paragraph" w:customStyle="1" w:styleId="Left1">
    <w:name w:val="Left:1"/>
    <w:basedOn w:val="Normal"/>
    <w:rsid w:val="00CE2B27"/>
    <w:pPr>
      <w:ind w:left="504"/>
    </w:pPr>
  </w:style>
  <w:style w:type="paragraph" w:customStyle="1" w:styleId="Left2">
    <w:name w:val="Left:2"/>
    <w:basedOn w:val="Normal"/>
    <w:rsid w:val="00CE2B27"/>
    <w:pPr>
      <w:ind w:left="1008"/>
    </w:pPr>
  </w:style>
  <w:style w:type="paragraph" w:customStyle="1" w:styleId="Left3">
    <w:name w:val="Left:3"/>
    <w:basedOn w:val="Normal"/>
    <w:rsid w:val="00CE2B27"/>
    <w:pPr>
      <w:ind w:left="1800"/>
    </w:pPr>
  </w:style>
  <w:style w:type="paragraph" w:customStyle="1" w:styleId="Left4">
    <w:name w:val="Left:4"/>
    <w:basedOn w:val="Normal"/>
    <w:rsid w:val="00CE2B27"/>
    <w:pPr>
      <w:ind w:left="2736"/>
    </w:pPr>
  </w:style>
  <w:style w:type="numbering" w:customStyle="1" w:styleId="ListBulleted">
    <w:name w:val="List Bulleted"/>
    <w:basedOn w:val="NoList"/>
    <w:rsid w:val="00345C52"/>
    <w:pPr>
      <w:numPr>
        <w:numId w:val="2"/>
      </w:numPr>
    </w:pPr>
  </w:style>
  <w:style w:type="numbering" w:customStyle="1" w:styleId="ListBulletedIndented">
    <w:name w:val="List Bulleted Indented"/>
    <w:basedOn w:val="NoList"/>
    <w:rsid w:val="00CE2B27"/>
    <w:pPr>
      <w:numPr>
        <w:numId w:val="3"/>
      </w:numPr>
    </w:pPr>
  </w:style>
  <w:style w:type="numbering" w:customStyle="1" w:styleId="ListMultiple-choiceChar">
    <w:name w:val="List Multiple-choice Char"/>
    <w:basedOn w:val="NoList"/>
    <w:rsid w:val="00CE2B27"/>
    <w:pPr>
      <w:numPr>
        <w:numId w:val="4"/>
      </w:numPr>
    </w:pPr>
  </w:style>
  <w:style w:type="numbering" w:customStyle="1" w:styleId="ListOutlineChar">
    <w:name w:val="List Outline Char"/>
    <w:rsid w:val="00CE2B27"/>
  </w:style>
  <w:style w:type="numbering" w:customStyle="1" w:styleId="ListOutlineNumbered">
    <w:name w:val="List Outline Numbered"/>
    <w:basedOn w:val="NoList"/>
    <w:rsid w:val="00CE2B27"/>
    <w:pPr>
      <w:numPr>
        <w:numId w:val="6"/>
      </w:numPr>
    </w:pPr>
  </w:style>
  <w:style w:type="paragraph" w:styleId="Subtitle">
    <w:name w:val="Subtitle"/>
    <w:basedOn w:val="Normal"/>
    <w:qFormat/>
    <w:rsid w:val="00345C52"/>
    <w:pPr>
      <w:spacing w:before="120" w:after="120"/>
      <w:jc w:val="center"/>
      <w:outlineLvl w:val="1"/>
    </w:pPr>
    <w:rPr>
      <w:rFonts w:ascii="Arial" w:hAnsi="Arial" w:cs="Arial"/>
      <w:color w:val="000080"/>
    </w:rPr>
  </w:style>
  <w:style w:type="paragraph" w:customStyle="1" w:styleId="TableCentered">
    <w:name w:val="TableCentered"/>
    <w:basedOn w:val="Normal"/>
    <w:rsid w:val="00CE2B27"/>
    <w:pPr>
      <w:jc w:val="center"/>
    </w:pPr>
    <w:rPr>
      <w:szCs w:val="20"/>
    </w:rPr>
  </w:style>
  <w:style w:type="paragraph" w:customStyle="1" w:styleId="TableLeftText">
    <w:name w:val="TableLeftText"/>
    <w:basedOn w:val="Normal"/>
    <w:rsid w:val="00CE2B27"/>
  </w:style>
  <w:style w:type="paragraph" w:customStyle="1" w:styleId="TableRightText">
    <w:name w:val="TableRightText"/>
    <w:basedOn w:val="Normal"/>
    <w:rsid w:val="00CE2B27"/>
    <w:pPr>
      <w:jc w:val="right"/>
    </w:pPr>
  </w:style>
  <w:style w:type="paragraph" w:styleId="Title">
    <w:name w:val="Title"/>
    <w:basedOn w:val="Normal"/>
    <w:qFormat/>
    <w:rsid w:val="00345C52"/>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CE2B27"/>
    <w:rPr>
      <w:b/>
      <w:i/>
      <w:u w:val="single"/>
      <w:bdr w:val="none" w:sz="0" w:space="0" w:color="auto"/>
      <w:shd w:val="clear" w:color="auto" w:fill="FFFF99"/>
    </w:rPr>
  </w:style>
  <w:style w:type="paragraph" w:customStyle="1" w:styleId="GCaptionBoldCentered">
    <w:name w:val="GCaptionBoldCentered"/>
    <w:basedOn w:val="Normal"/>
    <w:rsid w:val="00202972"/>
    <w:pPr>
      <w:keepNext/>
      <w:jc w:val="center"/>
    </w:pPr>
    <w:rPr>
      <w:b/>
      <w:color w:val="000099"/>
      <w:sz w:val="24"/>
    </w:rPr>
  </w:style>
  <w:style w:type="paragraph" w:styleId="Footer">
    <w:name w:val="footer"/>
    <w:basedOn w:val="Normal"/>
    <w:rsid w:val="00345C52"/>
    <w:pPr>
      <w:tabs>
        <w:tab w:val="center" w:pos="4320"/>
        <w:tab w:val="right" w:pos="9360"/>
      </w:tabs>
    </w:pPr>
    <w:rPr>
      <w:rFonts w:ascii="Arial" w:hAnsi="Arial"/>
      <w:sz w:val="16"/>
    </w:rPr>
  </w:style>
  <w:style w:type="character" w:styleId="PageNumber">
    <w:name w:val="page number"/>
    <w:basedOn w:val="DefaultParagraphFont"/>
    <w:rsid w:val="00FD361A"/>
  </w:style>
  <w:style w:type="paragraph" w:customStyle="1" w:styleId="CoverText">
    <w:name w:val="CoverText"/>
    <w:basedOn w:val="Normal"/>
    <w:rsid w:val="00345C52"/>
    <w:pPr>
      <w:jc w:val="center"/>
    </w:pPr>
  </w:style>
  <w:style w:type="paragraph" w:styleId="BodyText3">
    <w:name w:val="Body Text 3"/>
    <w:basedOn w:val="Normal"/>
    <w:rsid w:val="00345C52"/>
    <w:rPr>
      <w:sz w:val="18"/>
      <w:szCs w:val="16"/>
    </w:rPr>
  </w:style>
  <w:style w:type="paragraph" w:styleId="BodyTextFirstIndent">
    <w:name w:val="Body Text First Indent"/>
    <w:basedOn w:val="BodyText"/>
    <w:rsid w:val="00345C52"/>
    <w:pPr>
      <w:spacing w:line="480" w:lineRule="auto"/>
      <w:ind w:firstLine="432"/>
    </w:pPr>
  </w:style>
  <w:style w:type="paragraph" w:styleId="FootnoteText">
    <w:name w:val="footnote text"/>
    <w:basedOn w:val="Normal"/>
    <w:rsid w:val="00345C52"/>
    <w:rPr>
      <w:sz w:val="20"/>
      <w:szCs w:val="20"/>
    </w:rPr>
  </w:style>
  <w:style w:type="paragraph" w:customStyle="1" w:styleId="CenterTable">
    <w:name w:val="CenterTable"/>
    <w:basedOn w:val="Normal"/>
    <w:rsid w:val="00345C52"/>
    <w:pPr>
      <w:jc w:val="center"/>
    </w:pPr>
  </w:style>
  <w:style w:type="numbering" w:customStyle="1" w:styleId="StyleOutlinenumbered">
    <w:name w:val="Style Outline numbered"/>
    <w:basedOn w:val="NoList"/>
    <w:rsid w:val="00345C52"/>
    <w:pPr>
      <w:numPr>
        <w:numId w:val="33"/>
      </w:numPr>
    </w:pPr>
  </w:style>
  <w:style w:type="paragraph" w:customStyle="1" w:styleId="StyleLeft14">
    <w:name w:val="Style Left:  1.4&quot;"/>
    <w:basedOn w:val="Normal"/>
    <w:rsid w:val="00345C52"/>
    <w:pPr>
      <w:ind w:left="2016"/>
    </w:pPr>
    <w:rPr>
      <w:szCs w:val="22"/>
    </w:rPr>
  </w:style>
  <w:style w:type="paragraph" w:customStyle="1" w:styleId="StyleLeft105">
    <w:name w:val="Style Left:  1.05&quot;"/>
    <w:basedOn w:val="Normal"/>
    <w:rsid w:val="00345C52"/>
    <w:pPr>
      <w:ind w:left="1512"/>
    </w:pPr>
    <w:rPr>
      <w:szCs w:val="20"/>
    </w:rPr>
  </w:style>
  <w:style w:type="paragraph" w:customStyle="1" w:styleId="StyleLeft07">
    <w:name w:val="Style Left:  0.7&quot;"/>
    <w:basedOn w:val="Normal"/>
    <w:rsid w:val="00345C52"/>
    <w:pPr>
      <w:ind w:left="1008"/>
    </w:pPr>
    <w:rPr>
      <w:szCs w:val="20"/>
    </w:rPr>
  </w:style>
  <w:style w:type="paragraph" w:customStyle="1" w:styleId="StyleLeft035">
    <w:name w:val="Style Left:  0.35&quot;"/>
    <w:basedOn w:val="Normal"/>
    <w:rsid w:val="00345C52"/>
    <w:pPr>
      <w:ind w:left="504"/>
    </w:pPr>
    <w:rPr>
      <w:szCs w:val="20"/>
    </w:rPr>
  </w:style>
  <w:style w:type="paragraph" w:customStyle="1" w:styleId="Indentedlist">
    <w:name w:val="Indented list"/>
    <w:basedOn w:val="Normal"/>
    <w:rsid w:val="00345C52"/>
    <w:pPr>
      <w:numPr>
        <w:numId w:val="16"/>
      </w:numPr>
      <w:tabs>
        <w:tab w:val="clear" w:pos="1008"/>
        <w:tab w:val="num" w:pos="360"/>
      </w:tabs>
      <w:ind w:left="0" w:firstLine="0"/>
    </w:pPr>
    <w:rPr>
      <w:szCs w:val="22"/>
    </w:rPr>
  </w:style>
  <w:style w:type="paragraph" w:styleId="List">
    <w:name w:val="List"/>
    <w:basedOn w:val="Normal"/>
    <w:rsid w:val="00345C52"/>
    <w:pPr>
      <w:numPr>
        <w:numId w:val="17"/>
      </w:numPr>
      <w:tabs>
        <w:tab w:val="clear" w:pos="504"/>
        <w:tab w:val="num" w:pos="360"/>
      </w:tabs>
      <w:ind w:left="0" w:firstLine="0"/>
    </w:pPr>
    <w:rPr>
      <w:szCs w:val="22"/>
    </w:rPr>
  </w:style>
  <w:style w:type="numbering" w:customStyle="1" w:styleId="StyleCharOutlinenumbered">
    <w:name w:val="Style Char Outline numbered"/>
    <w:basedOn w:val="NoList"/>
    <w:rsid w:val="00345C52"/>
    <w:pPr>
      <w:numPr>
        <w:numId w:val="34"/>
      </w:numPr>
    </w:pPr>
  </w:style>
  <w:style w:type="character" w:styleId="Hyperlink">
    <w:name w:val="Hyperlink"/>
    <w:rsid w:val="00B71225"/>
    <w:rPr>
      <w:color w:val="0000FF"/>
      <w:u w:val="single"/>
    </w:rPr>
  </w:style>
  <w:style w:type="paragraph" w:styleId="BalloonText">
    <w:name w:val="Balloon Text"/>
    <w:basedOn w:val="Normal"/>
    <w:link w:val="BalloonTextChar"/>
    <w:rsid w:val="00B202D5"/>
    <w:rPr>
      <w:rFonts w:ascii="Tahoma" w:hAnsi="Tahoma" w:cs="Tahoma"/>
      <w:sz w:val="16"/>
      <w:szCs w:val="16"/>
    </w:rPr>
  </w:style>
  <w:style w:type="character" w:customStyle="1" w:styleId="BalloonTextChar">
    <w:name w:val="Balloon Text Char"/>
    <w:link w:val="BalloonText"/>
    <w:rsid w:val="00B202D5"/>
    <w:rPr>
      <w:rFonts w:ascii="Tahoma" w:hAnsi="Tahoma" w:cs="Tahoma"/>
      <w:kern w:val="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71</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Adjusting Analyst Forecasts</vt:lpstr>
    </vt:vector>
  </TitlesOfParts>
  <Manager>http://www.godeohlson.com</Manager>
  <Company>paper.dot</Company>
  <LinksUpToDate>false</LinksUpToDate>
  <CharactersWithSpaces>5559</CharactersWithSpaces>
  <SharedDoc>false</SharedDoc>
  <HLinks>
    <vt:vector size="6" baseType="variant">
      <vt:variant>
        <vt:i4>2752545</vt:i4>
      </vt:variant>
      <vt:variant>
        <vt:i4>8</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Adjusting Analyst Forecasts</dc:title>
  <dc:subject>Financial Statement Analysis and Valuation</dc:subject>
  <dc:creator>Dan Gode and James Ohlson</dc:creator>
  <cp:keywords/>
  <dc:description/>
  <cp:lastModifiedBy>Dan Gode</cp:lastModifiedBy>
  <cp:revision>20</cp:revision>
  <cp:lastPrinted>2013-04-21T18:48:00Z</cp:lastPrinted>
  <dcterms:created xsi:type="dcterms:W3CDTF">2012-01-08T20:33:00Z</dcterms:created>
  <dcterms:modified xsi:type="dcterms:W3CDTF">2016-09-03T23:01:00Z</dcterms:modified>
</cp:coreProperties>
</file>