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B3" w:rsidRPr="00D93552" w:rsidRDefault="00757B7B" w:rsidP="006508B3">
      <w:pPr>
        <w:pStyle w:val="Title"/>
      </w:pPr>
      <w:bookmarkStart w:id="0" w:name="_GoBack"/>
      <w:bookmarkEnd w:id="0"/>
      <w:r>
        <w:t>Excess Implied Return</w:t>
      </w:r>
      <w:r w:rsidR="00C36178">
        <w:t xml:space="preserve"> (</w:t>
      </w:r>
      <w:r>
        <w:t>EIR</w:t>
      </w:r>
      <w:r w:rsidR="00C36178">
        <w:t>)</w:t>
      </w:r>
    </w:p>
    <w:p w:rsidR="003F3F5A" w:rsidRDefault="00172443" w:rsidP="006B6672">
      <w:pPr>
        <w:pStyle w:val="Subtitle"/>
      </w:pPr>
      <w:r>
        <w:t xml:space="preserve">© </w:t>
      </w:r>
      <w:r w:rsidR="003F3F5A">
        <w:t>Dan Gode and James Ohlson</w:t>
      </w:r>
    </w:p>
    <w:p w:rsidR="00A740EC" w:rsidRDefault="00A740EC" w:rsidP="00AA0EE5">
      <w:pPr>
        <w:pStyle w:val="Heading1"/>
      </w:pPr>
      <w:r>
        <w:t>Overview</w:t>
      </w:r>
    </w:p>
    <w:p w:rsidR="00243719" w:rsidRPr="00243719" w:rsidRDefault="00835907" w:rsidP="00635125">
      <w:pPr>
        <w:pStyle w:val="BodyText"/>
      </w:pPr>
      <w:r>
        <w:t>I</w:t>
      </w:r>
      <w:r w:rsidRPr="00835907">
        <w:t>nvestor</w:t>
      </w:r>
      <w:r>
        <w:t>s often start their analysis</w:t>
      </w:r>
      <w:r w:rsidRPr="00835907">
        <w:t xml:space="preserve"> </w:t>
      </w:r>
      <w:r>
        <w:t>using</w:t>
      </w:r>
      <w:r w:rsidRPr="00835907">
        <w:t xml:space="preserve"> screens that provide</w:t>
      </w:r>
      <w:r w:rsidR="00A65962">
        <w:t xml:space="preserve"> </w:t>
      </w:r>
      <w:r w:rsidRPr="00835907">
        <w:t xml:space="preserve">preliminary indicators of </w:t>
      </w:r>
      <w:r>
        <w:t>mispriced stocks</w:t>
      </w:r>
      <w:r w:rsidRPr="00835907">
        <w:t xml:space="preserve">. </w:t>
      </w:r>
      <w:r w:rsidR="00243719">
        <w:t>The forward PE ratio and the PEG ratio (PE ratio divided by short-term growth) are examples of widely used screens. These screens incorporate the common sense idea that “</w:t>
      </w:r>
      <w:r w:rsidR="00243719" w:rsidRPr="00243719">
        <w:t>earnings ought to be bought as cheaply as possible” and “cheaply bought earnings lead to higher expected returns</w:t>
      </w:r>
      <w:r w:rsidR="00243719">
        <w:t>.</w:t>
      </w:r>
      <w:r w:rsidR="00243719" w:rsidRPr="00243719">
        <w:t>”</w:t>
      </w:r>
      <w:r w:rsidR="00243719">
        <w:t xml:space="preserve"> The PEG ratio is an enhancement of the PE ratio because i</w:t>
      </w:r>
      <w:r w:rsidR="00A15A5A">
        <w:t xml:space="preserve">t adjusts for short-term growth, but </w:t>
      </w:r>
      <w:r w:rsidR="00243719">
        <w:t xml:space="preserve">the </w:t>
      </w:r>
      <w:r w:rsidR="003466C7">
        <w:t xml:space="preserve">PEG ratio does </w:t>
      </w:r>
      <w:r w:rsidR="00243719">
        <w:t xml:space="preserve">not adjust for differences in long-run growth, dividend payouts, and risk. </w:t>
      </w:r>
    </w:p>
    <w:p w:rsidR="00635125" w:rsidRDefault="00835907" w:rsidP="00635125">
      <w:pPr>
        <w:pStyle w:val="BodyText"/>
      </w:pPr>
      <w:r w:rsidRPr="00835907">
        <w:t xml:space="preserve">This spreadsheet </w:t>
      </w:r>
      <w:r>
        <w:t xml:space="preserve">presents </w:t>
      </w:r>
      <w:r w:rsidR="00635125">
        <w:t xml:space="preserve">a new screen </w:t>
      </w:r>
      <w:r w:rsidR="00E51CE8">
        <w:t xml:space="preserve">called </w:t>
      </w:r>
      <w:r w:rsidR="00757B7B">
        <w:t>Excess Implied Return</w:t>
      </w:r>
      <w:r w:rsidR="00E51CE8">
        <w:t xml:space="preserve"> (</w:t>
      </w:r>
      <w:r w:rsidR="00757B7B">
        <w:t>EIR</w:t>
      </w:r>
      <w:r w:rsidR="00E51CE8">
        <w:t>)</w:t>
      </w:r>
      <w:r w:rsidR="00D459AD">
        <w:t xml:space="preserve">, which </w:t>
      </w:r>
      <w:r w:rsidR="00243719">
        <w:t xml:space="preserve">corrects for factors omitted by the PEG. </w:t>
      </w:r>
      <w:r w:rsidR="00757B7B">
        <w:t>EIR</w:t>
      </w:r>
      <w:r w:rsidR="00635125">
        <w:t xml:space="preserve"> </w:t>
      </w:r>
      <w:r w:rsidR="00E51CE8">
        <w:t xml:space="preserve">is the </w:t>
      </w:r>
      <w:r w:rsidR="00C4474D">
        <w:t>difference</w:t>
      </w:r>
      <w:r w:rsidR="00E51CE8">
        <w:t xml:space="preserve"> </w:t>
      </w:r>
      <w:r w:rsidR="006658B3">
        <w:t>between</w:t>
      </w:r>
      <w:r w:rsidR="00E51CE8">
        <w:t xml:space="preserve"> </w:t>
      </w:r>
      <w:r w:rsidR="00AA3C96">
        <w:t xml:space="preserve">the implied expected </w:t>
      </w:r>
      <w:r w:rsidR="00635125">
        <w:t>return for a stock</w:t>
      </w:r>
      <w:r w:rsidR="00E51CE8">
        <w:t xml:space="preserve"> and </w:t>
      </w:r>
      <w:r w:rsidR="00635125">
        <w:t xml:space="preserve">its </w:t>
      </w:r>
      <w:r w:rsidR="00E41410">
        <w:t>required</w:t>
      </w:r>
      <w:r w:rsidR="00635125">
        <w:t xml:space="preserve"> return. The expected return is inferred from the current stock</w:t>
      </w:r>
      <w:r w:rsidR="00C83D0F">
        <w:t xml:space="preserve"> price</w:t>
      </w:r>
      <w:r w:rsidR="00635125">
        <w:t xml:space="preserve"> and forecasted e</w:t>
      </w:r>
      <w:r w:rsidR="00E41410">
        <w:t xml:space="preserve">arnings </w:t>
      </w:r>
      <w:r w:rsidR="00A84F04">
        <w:t xml:space="preserve">and dividends </w:t>
      </w:r>
      <w:r w:rsidR="00E41410">
        <w:t xml:space="preserve">while the required </w:t>
      </w:r>
      <w:r w:rsidR="00635125">
        <w:t>return is derived using CAPM. Thus,</w:t>
      </w:r>
      <w:r w:rsidR="00D77E6B">
        <w:t xml:space="preserve"> </w:t>
      </w:r>
      <w:r w:rsidR="000D2BF5">
        <w:t xml:space="preserve">we compute </w:t>
      </w:r>
      <w:r w:rsidR="00757B7B">
        <w:t>EIR</w:t>
      </w:r>
      <w:r w:rsidR="00635125">
        <w:t xml:space="preserve"> </w:t>
      </w:r>
      <w:r w:rsidR="00BE6725" w:rsidRPr="00D77E6B">
        <w:t xml:space="preserve">in two independent steps </w:t>
      </w:r>
      <w:r w:rsidR="00D459AD" w:rsidRPr="00D77E6B">
        <w:t xml:space="preserve">as </w:t>
      </w:r>
      <w:r w:rsidR="00D459AD">
        <w:t>follows:</w:t>
      </w:r>
    </w:p>
    <w:p w:rsidR="00635125" w:rsidRDefault="007D2299" w:rsidP="00635125">
      <w:pPr>
        <w:pStyle w:val="BodyText"/>
        <w:numPr>
          <w:ilvl w:val="0"/>
          <w:numId w:val="11"/>
        </w:numPr>
      </w:pPr>
      <w:r>
        <w:t xml:space="preserve">First, we compute the discount rate implied by the current stock price and earnings forecasts. </w:t>
      </w:r>
      <w:r w:rsidR="00BF2A39" w:rsidRPr="00BF2A39">
        <w:t xml:space="preserve">The implied discount </w:t>
      </w:r>
      <w:r w:rsidR="00BF2A39">
        <w:t>rate</w:t>
      </w:r>
      <w:r w:rsidR="00BF2A39" w:rsidRPr="00BF2A39">
        <w:t xml:space="preserve"> is the same as an internal rate of</w:t>
      </w:r>
      <w:r w:rsidR="00BF2A39">
        <w:t xml:space="preserve"> return on an investment and </w:t>
      </w:r>
      <w:r w:rsidR="00BF2A39" w:rsidRPr="00BF2A39">
        <w:t>measure</w:t>
      </w:r>
      <w:r w:rsidR="00BF2A39">
        <w:t xml:space="preserve">s the expected return. We </w:t>
      </w:r>
      <w:r w:rsidR="00BF2A39" w:rsidRPr="00BF2A39">
        <w:t xml:space="preserve">refer to this </w:t>
      </w:r>
      <w:r w:rsidR="00BF2A39">
        <w:t xml:space="preserve">discount rate as </w:t>
      </w:r>
      <w:r w:rsidR="00BF2A39" w:rsidRPr="00BF2A39">
        <w:t>the “</w:t>
      </w:r>
      <w:r w:rsidR="005757B9">
        <w:t xml:space="preserve">implied </w:t>
      </w:r>
      <w:r w:rsidR="00A5169F">
        <w:t>return</w:t>
      </w:r>
      <w:r w:rsidR="00BF2A39" w:rsidRPr="00BF2A39">
        <w:t xml:space="preserve">” </w:t>
      </w:r>
      <w:r w:rsidR="00BF2A39">
        <w:t>(</w:t>
      </w:r>
      <w:r w:rsidR="00A5169F">
        <w:t>IR</w:t>
      </w:r>
      <w:r w:rsidR="00BF2A39">
        <w:t>).</w:t>
      </w:r>
      <w:r>
        <w:t xml:space="preserve"> If the </w:t>
      </w:r>
      <w:r w:rsidR="005757B9">
        <w:t xml:space="preserve">implied </w:t>
      </w:r>
      <w:r w:rsidR="00A5169F">
        <w:t>return</w:t>
      </w:r>
      <w:r>
        <w:t xml:space="preserve"> is high, the stock may be risky or underpriced. </w:t>
      </w:r>
      <w:r w:rsidR="008B0A42">
        <w:t>On the other hand, i</w:t>
      </w:r>
      <w:r>
        <w:t xml:space="preserve">f the </w:t>
      </w:r>
      <w:r w:rsidR="005757B9">
        <w:t xml:space="preserve">implied </w:t>
      </w:r>
      <w:r w:rsidR="00A5169F">
        <w:t>return</w:t>
      </w:r>
      <w:r>
        <w:t xml:space="preserve"> is low, the stock may be low risk or overpriced. </w:t>
      </w:r>
    </w:p>
    <w:p w:rsidR="00635125" w:rsidRDefault="00635125" w:rsidP="00635125">
      <w:pPr>
        <w:pStyle w:val="BodyText"/>
        <w:numPr>
          <w:ilvl w:val="0"/>
          <w:numId w:val="11"/>
        </w:numPr>
      </w:pPr>
      <w:r>
        <w:t xml:space="preserve">Second, </w:t>
      </w:r>
      <w:r w:rsidR="00BF2A39">
        <w:t>to separate the effect of risk</w:t>
      </w:r>
      <w:r w:rsidR="00BF2A39" w:rsidRPr="00EF2990">
        <w:t xml:space="preserve"> </w:t>
      </w:r>
      <w:r w:rsidR="00EF2990" w:rsidRPr="00EF2990">
        <w:t>versus</w:t>
      </w:r>
      <w:r w:rsidR="00BE6725" w:rsidRPr="00EF2990">
        <w:t xml:space="preserve"> </w:t>
      </w:r>
      <w:r w:rsidR="00BF2A39" w:rsidRPr="00EF2990">
        <w:t>m</w:t>
      </w:r>
      <w:r w:rsidR="00BF2A39">
        <w:t xml:space="preserve">ispricing on the </w:t>
      </w:r>
      <w:r w:rsidR="005757B9">
        <w:t xml:space="preserve">implied </w:t>
      </w:r>
      <w:r w:rsidR="00A5169F">
        <w:t>return</w:t>
      </w:r>
      <w:r w:rsidR="00BF2A39">
        <w:t xml:space="preserve">, we compare the </w:t>
      </w:r>
      <w:r w:rsidR="005757B9">
        <w:t xml:space="preserve">implied </w:t>
      </w:r>
      <w:r w:rsidR="00A5169F">
        <w:t>return</w:t>
      </w:r>
      <w:r w:rsidR="00BF2A39">
        <w:t xml:space="preserve"> </w:t>
      </w:r>
      <w:r>
        <w:t>t</w:t>
      </w:r>
      <w:r w:rsidR="007D2299">
        <w:t xml:space="preserve">o </w:t>
      </w:r>
      <w:r w:rsidR="00BF2A39">
        <w:t xml:space="preserve">the </w:t>
      </w:r>
      <w:r w:rsidR="00E0215D">
        <w:t>return required based on risk</w:t>
      </w:r>
      <w:r w:rsidR="00BF2A39">
        <w:t xml:space="preserve">. We derive the required return using CAPM. We then </w:t>
      </w:r>
      <w:r w:rsidR="007D2299">
        <w:t xml:space="preserve">normalize the </w:t>
      </w:r>
      <w:r w:rsidR="005757B9">
        <w:t xml:space="preserve">implied </w:t>
      </w:r>
      <w:r w:rsidR="00A5169F">
        <w:t>return</w:t>
      </w:r>
      <w:r w:rsidR="007D2299">
        <w:t xml:space="preserve"> by </w:t>
      </w:r>
      <w:r w:rsidR="00C4474D">
        <w:t>subtracting</w:t>
      </w:r>
      <w:r w:rsidR="007D2299">
        <w:t xml:space="preserve"> the </w:t>
      </w:r>
      <w:r w:rsidR="00E41410">
        <w:t>required</w:t>
      </w:r>
      <w:r w:rsidR="00BF2A39">
        <w:t xml:space="preserve"> return.</w:t>
      </w:r>
      <w:r w:rsidR="00BD51E1">
        <w:t xml:space="preserve"> We call this </w:t>
      </w:r>
      <w:r w:rsidR="00C4474D">
        <w:t>“excess return”</w:t>
      </w:r>
      <w:r w:rsidR="00BD51E1">
        <w:t xml:space="preserve"> </w:t>
      </w:r>
      <w:bookmarkStart w:id="1" w:name="OLE_LINK1"/>
      <w:bookmarkStart w:id="2" w:name="OLE_LINK2"/>
      <w:r w:rsidR="00757B7B">
        <w:t>Excess Implied Return</w:t>
      </w:r>
      <w:r w:rsidR="00BD51E1">
        <w:t xml:space="preserve"> (</w:t>
      </w:r>
      <w:r w:rsidR="00757B7B">
        <w:t>EIR</w:t>
      </w:r>
      <w:r w:rsidR="00BD51E1">
        <w:t>)</w:t>
      </w:r>
      <w:bookmarkEnd w:id="1"/>
      <w:bookmarkEnd w:id="2"/>
      <w:r w:rsidR="00BD51E1">
        <w:t xml:space="preserve">. </w:t>
      </w:r>
      <w:r w:rsidR="00BF2A39">
        <w:t xml:space="preserve">If </w:t>
      </w:r>
      <w:r w:rsidR="00757B7B">
        <w:t>EIR</w:t>
      </w:r>
      <w:r w:rsidR="00F902C8">
        <w:t xml:space="preserve"> exceeds zero</w:t>
      </w:r>
      <w:r w:rsidR="00757B7B">
        <w:t>, then the stock may be under</w:t>
      </w:r>
      <w:r w:rsidR="00BD51E1">
        <w:t xml:space="preserve">priced, </w:t>
      </w:r>
      <w:r w:rsidR="00BF2A39">
        <w:t>and vice versa.</w:t>
      </w:r>
    </w:p>
    <w:p w:rsidR="00E24FA6" w:rsidRDefault="00370F24" w:rsidP="00635125">
      <w:pPr>
        <w:pStyle w:val="BodyText"/>
      </w:pPr>
      <w:r>
        <w:t>L</w:t>
      </w:r>
      <w:r w:rsidR="00BD51E1">
        <w:t xml:space="preserve">ike all screens, </w:t>
      </w:r>
      <w:r w:rsidR="00757B7B">
        <w:t>EIR</w:t>
      </w:r>
      <w:r>
        <w:t xml:space="preserve"> </w:t>
      </w:r>
      <w:r w:rsidR="007A545B">
        <w:t>is susceptible to measurement errors in inputs</w:t>
      </w:r>
      <w:r w:rsidR="00BE6725" w:rsidRPr="00EF2990">
        <w:t>;</w:t>
      </w:r>
      <w:r w:rsidR="00EF2990">
        <w:t xml:space="preserve"> </w:t>
      </w:r>
      <w:r w:rsidR="00757B7B">
        <w:t>EIR</w:t>
      </w:r>
      <w:r w:rsidR="007A545B">
        <w:t xml:space="preserve"> should be viewed as a starting point for analysis, not the final word. </w:t>
      </w:r>
    </w:p>
    <w:p w:rsidR="0094573B" w:rsidRDefault="00243719" w:rsidP="0094573B">
      <w:pPr>
        <w:pStyle w:val="Heading2"/>
      </w:pPr>
      <w:r w:rsidRPr="00243719">
        <w:t xml:space="preserve">Motivating our approach: </w:t>
      </w:r>
      <w:r>
        <w:t xml:space="preserve">The </w:t>
      </w:r>
      <w:r w:rsidRPr="00243719">
        <w:t xml:space="preserve">PEG </w:t>
      </w:r>
      <w:r>
        <w:t xml:space="preserve">ratio </w:t>
      </w:r>
      <w:r w:rsidRPr="00243719">
        <w:t>and its pros and cons</w:t>
      </w:r>
    </w:p>
    <w:p w:rsidR="00F902C8" w:rsidRPr="00F902C8" w:rsidRDefault="00F902C8" w:rsidP="00F902C8">
      <w:pPr>
        <w:pStyle w:val="BodyText"/>
      </w:pPr>
      <w:r>
        <w:t xml:space="preserve">We now discuss the PEG ratio and explain how </w:t>
      </w:r>
      <w:r w:rsidR="00757B7B">
        <w:t>EIR</w:t>
      </w:r>
      <w:r>
        <w:t xml:space="preserve"> overcomes some of its limitations.</w:t>
      </w:r>
    </w:p>
    <w:tbl>
      <w:tblPr>
        <w:tblW w:w="0" w:type="auto"/>
        <w:tblCellMar>
          <w:left w:w="0" w:type="dxa"/>
          <w:right w:w="0" w:type="dxa"/>
        </w:tblCellMar>
        <w:tblLook w:val="01E0" w:firstRow="1" w:lastRow="1" w:firstColumn="1" w:lastColumn="1" w:noHBand="0" w:noVBand="0"/>
      </w:tblPr>
      <w:tblGrid>
        <w:gridCol w:w="1163"/>
        <w:gridCol w:w="1928"/>
        <w:gridCol w:w="360"/>
        <w:gridCol w:w="894"/>
      </w:tblGrid>
      <w:tr w:rsidR="008821BC" w:rsidTr="008821BC">
        <w:trPr>
          <w:cantSplit/>
        </w:trPr>
        <w:tc>
          <w:tcPr>
            <w:tcW w:w="1163" w:type="dxa"/>
            <w:vMerge w:val="restart"/>
            <w:vAlign w:val="center"/>
          </w:tcPr>
          <w:p w:rsidR="008821BC" w:rsidRPr="00FE337A" w:rsidRDefault="008821BC" w:rsidP="007F2BBF">
            <w:pPr>
              <w:keepNext/>
              <w:jc w:val="center"/>
            </w:pPr>
            <w:r>
              <w:t>PEG ratio =</w:t>
            </w:r>
          </w:p>
        </w:tc>
        <w:tc>
          <w:tcPr>
            <w:tcW w:w="1928" w:type="dxa"/>
            <w:tcBorders>
              <w:bottom w:val="single" w:sz="2" w:space="0" w:color="auto"/>
            </w:tcBorders>
            <w:vAlign w:val="center"/>
          </w:tcPr>
          <w:p w:rsidR="008821BC" w:rsidRPr="00AC433B" w:rsidRDefault="008821BC" w:rsidP="007F2BBF">
            <w:pPr>
              <w:keepNext/>
              <w:jc w:val="center"/>
            </w:pPr>
            <w:r>
              <w:t>Forward PE ratio</w:t>
            </w:r>
          </w:p>
        </w:tc>
        <w:tc>
          <w:tcPr>
            <w:tcW w:w="360" w:type="dxa"/>
            <w:vMerge w:val="restart"/>
            <w:vAlign w:val="center"/>
          </w:tcPr>
          <w:p w:rsidR="008821BC" w:rsidRDefault="008821BC" w:rsidP="007F2BBF">
            <w:pPr>
              <w:keepNext/>
              <w:jc w:val="center"/>
            </w:pPr>
            <w:r>
              <w:t>=</w:t>
            </w:r>
          </w:p>
        </w:tc>
        <w:tc>
          <w:tcPr>
            <w:tcW w:w="894" w:type="dxa"/>
            <w:tcBorders>
              <w:bottom w:val="single" w:sz="2" w:space="0" w:color="auto"/>
            </w:tcBorders>
          </w:tcPr>
          <w:p w:rsidR="008821BC" w:rsidRDefault="008821BC" w:rsidP="007F2BBF">
            <w:pPr>
              <w:keepNext/>
              <w:jc w:val="center"/>
            </w:pPr>
            <w:r>
              <w:t>P</w:t>
            </w:r>
            <w:r w:rsidRPr="008821BC">
              <w:rPr>
                <w:vertAlign w:val="subscript"/>
              </w:rPr>
              <w:t>0</w:t>
            </w:r>
            <w:r>
              <w:t>/e</w:t>
            </w:r>
            <w:r w:rsidRPr="008821BC">
              <w:rPr>
                <w:vertAlign w:val="subscript"/>
              </w:rPr>
              <w:t>1</w:t>
            </w:r>
          </w:p>
        </w:tc>
      </w:tr>
      <w:tr w:rsidR="008821BC" w:rsidTr="008821BC">
        <w:trPr>
          <w:cantSplit/>
        </w:trPr>
        <w:tc>
          <w:tcPr>
            <w:tcW w:w="1163" w:type="dxa"/>
            <w:vMerge/>
            <w:vAlign w:val="center"/>
          </w:tcPr>
          <w:p w:rsidR="008821BC" w:rsidRDefault="008821BC" w:rsidP="007F2BBF">
            <w:pPr>
              <w:keepNext/>
              <w:jc w:val="center"/>
            </w:pPr>
          </w:p>
        </w:tc>
        <w:tc>
          <w:tcPr>
            <w:tcW w:w="1928" w:type="dxa"/>
            <w:tcBorders>
              <w:top w:val="single" w:sz="2" w:space="0" w:color="auto"/>
            </w:tcBorders>
            <w:vAlign w:val="center"/>
          </w:tcPr>
          <w:p w:rsidR="008821BC" w:rsidRDefault="00A9765F" w:rsidP="007F2BBF">
            <w:pPr>
              <w:keepNext/>
              <w:jc w:val="center"/>
            </w:pPr>
            <w:r>
              <w:t>G</w:t>
            </w:r>
            <w:r w:rsidR="008821BC">
              <w:t>rowth</w:t>
            </w:r>
          </w:p>
        </w:tc>
        <w:tc>
          <w:tcPr>
            <w:tcW w:w="360" w:type="dxa"/>
            <w:vMerge/>
          </w:tcPr>
          <w:p w:rsidR="008821BC" w:rsidRDefault="008821BC" w:rsidP="007F2BBF">
            <w:pPr>
              <w:keepNext/>
              <w:jc w:val="center"/>
            </w:pPr>
          </w:p>
        </w:tc>
        <w:tc>
          <w:tcPr>
            <w:tcW w:w="894" w:type="dxa"/>
            <w:tcBorders>
              <w:top w:val="single" w:sz="2" w:space="0" w:color="auto"/>
            </w:tcBorders>
          </w:tcPr>
          <w:p w:rsidR="008821BC" w:rsidRDefault="008821BC" w:rsidP="007F2BBF">
            <w:pPr>
              <w:keepNext/>
              <w:jc w:val="center"/>
            </w:pPr>
            <w:r>
              <w:t>(e</w:t>
            </w:r>
            <w:r w:rsidRPr="008821BC">
              <w:rPr>
                <w:vertAlign w:val="subscript"/>
              </w:rPr>
              <w:t>2</w:t>
            </w:r>
            <w:r>
              <w:t>-e</w:t>
            </w:r>
            <w:r w:rsidRPr="008821BC">
              <w:rPr>
                <w:vertAlign w:val="subscript"/>
              </w:rPr>
              <w:t>1</w:t>
            </w:r>
            <w:r>
              <w:t>)/e</w:t>
            </w:r>
            <w:r w:rsidRPr="008821BC">
              <w:rPr>
                <w:vertAlign w:val="subscript"/>
              </w:rPr>
              <w:t>1</w:t>
            </w:r>
          </w:p>
        </w:tc>
      </w:tr>
    </w:tbl>
    <w:p w:rsidR="008821BC" w:rsidRDefault="008821BC" w:rsidP="008821BC"/>
    <w:p w:rsidR="00F43192" w:rsidRDefault="00356C59" w:rsidP="007555D6">
      <w:pPr>
        <w:pStyle w:val="BodyText"/>
      </w:pPr>
      <w:r>
        <w:t xml:space="preserve">The PEG ratio captures the idea that if a low P/E firm has high growth, then it </w:t>
      </w:r>
      <w:r w:rsidR="008821BC">
        <w:t>may be an attractive investment, and vice versa.</w:t>
      </w:r>
      <w:r>
        <w:t xml:space="preserve"> The PEG ratio is </w:t>
      </w:r>
      <w:r w:rsidR="00407031">
        <w:t>simple to compu</w:t>
      </w:r>
      <w:r w:rsidR="007268CA">
        <w:t>te using readily available data and</w:t>
      </w:r>
      <w:r w:rsidR="00407031">
        <w:t xml:space="preserve"> do</w:t>
      </w:r>
      <w:r>
        <w:t>es</w:t>
      </w:r>
      <w:r w:rsidR="00407031">
        <w:t xml:space="preserve"> not requ</w:t>
      </w:r>
      <w:r w:rsidR="007268CA">
        <w:t>ire subjective adjustments</w:t>
      </w:r>
      <w:r w:rsidR="00407031">
        <w:t xml:space="preserve">. </w:t>
      </w:r>
      <w:r w:rsidR="00C83D0F">
        <w:t xml:space="preserve">However, </w:t>
      </w:r>
      <w:r>
        <w:t>the PEG ratio</w:t>
      </w:r>
      <w:r w:rsidR="00C83D0F">
        <w:t xml:space="preserve"> </w:t>
      </w:r>
      <w:r>
        <w:t>has</w:t>
      </w:r>
      <w:r w:rsidR="00C83D0F">
        <w:t xml:space="preserve"> the following limitations:</w:t>
      </w:r>
    </w:p>
    <w:p w:rsidR="00A56B83" w:rsidRDefault="00A56B83" w:rsidP="00A56B83">
      <w:pPr>
        <w:pStyle w:val="BodyText"/>
        <w:numPr>
          <w:ilvl w:val="0"/>
          <w:numId w:val="11"/>
        </w:numPr>
      </w:pPr>
      <w:r>
        <w:t xml:space="preserve">Although </w:t>
      </w:r>
      <w:r w:rsidR="00356C59">
        <w:t xml:space="preserve">it </w:t>
      </w:r>
      <w:r>
        <w:t>tries to correct for growth</w:t>
      </w:r>
      <w:r w:rsidR="00D9144E">
        <w:t xml:space="preserve"> by dividing </w:t>
      </w:r>
      <w:r w:rsidR="00C15304">
        <w:t xml:space="preserve">P/E </w:t>
      </w:r>
      <w:r w:rsidR="00D9144E">
        <w:t>by growth</w:t>
      </w:r>
      <w:r>
        <w:t xml:space="preserve">, </w:t>
      </w:r>
      <w:r w:rsidR="00D9144E">
        <w:t xml:space="preserve">such correction </w:t>
      </w:r>
      <w:r w:rsidR="00C15304">
        <w:t>is ad-hoc</w:t>
      </w:r>
      <w:r w:rsidR="00C15304" w:rsidRPr="00C15304">
        <w:t xml:space="preserve"> and without a conceptual foundation</w:t>
      </w:r>
      <w:r w:rsidR="00C15304">
        <w:t xml:space="preserve">. </w:t>
      </w:r>
      <w:r w:rsidR="00D9144E">
        <w:t xml:space="preserve">For example, one alternative way to correct for growth is to </w:t>
      </w:r>
      <w:r w:rsidR="001975BA">
        <w:t>add</w:t>
      </w:r>
      <w:r w:rsidR="00D9144E">
        <w:t xml:space="preserve"> growth </w:t>
      </w:r>
      <w:r w:rsidR="00D102BD">
        <w:t>to</w:t>
      </w:r>
      <w:r w:rsidR="00D9144E">
        <w:t xml:space="preserve"> the inverse of forward PE ratio.</w:t>
      </w:r>
    </w:p>
    <w:p w:rsidR="00A9765F" w:rsidRDefault="00A9765F" w:rsidP="00A9765F">
      <w:pPr>
        <w:pStyle w:val="BodyText"/>
        <w:numPr>
          <w:ilvl w:val="0"/>
          <w:numId w:val="11"/>
        </w:numPr>
      </w:pPr>
      <w:r>
        <w:t>It ignores earnings growth beyond Y2.</w:t>
      </w:r>
    </w:p>
    <w:p w:rsidR="00A9765F" w:rsidRDefault="00A9765F" w:rsidP="00A56B83">
      <w:pPr>
        <w:pStyle w:val="BodyText"/>
        <w:numPr>
          <w:ilvl w:val="0"/>
          <w:numId w:val="11"/>
        </w:numPr>
      </w:pPr>
      <w:r>
        <w:t xml:space="preserve">It ignores dividend payout </w:t>
      </w:r>
      <w:r w:rsidR="004143F1" w:rsidRPr="004143F1">
        <w:t xml:space="preserve">even </w:t>
      </w:r>
      <w:r w:rsidR="00BE6725" w:rsidRPr="004143F1">
        <w:t xml:space="preserve">though </w:t>
      </w:r>
      <w:r>
        <w:t>investors prefer to own a company that has a high dividend payout and yet can sustain high growth.</w:t>
      </w:r>
    </w:p>
    <w:p w:rsidR="00133E95" w:rsidRDefault="00356C59" w:rsidP="007555D6">
      <w:pPr>
        <w:pStyle w:val="BodyText"/>
        <w:numPr>
          <w:ilvl w:val="0"/>
          <w:numId w:val="11"/>
        </w:numPr>
      </w:pPr>
      <w:r>
        <w:t xml:space="preserve">It </w:t>
      </w:r>
      <w:r w:rsidR="00A56B83">
        <w:t>ignore</w:t>
      </w:r>
      <w:r>
        <w:t>s</w:t>
      </w:r>
      <w:r w:rsidR="00133E95">
        <w:t xml:space="preserve"> information about a company’s risk. Many high growth companies are also high</w:t>
      </w:r>
      <w:r w:rsidR="004143F1">
        <w:t>-</w:t>
      </w:r>
      <w:r w:rsidR="00133E95">
        <w:t>risk companies. Investors like the growth but not the risk.</w:t>
      </w:r>
    </w:p>
    <w:p w:rsidR="00CA6B93" w:rsidRDefault="00757B7B" w:rsidP="00243719">
      <w:pPr>
        <w:pStyle w:val="BodyText"/>
      </w:pPr>
      <w:r>
        <w:lastRenderedPageBreak/>
        <w:t>EIR</w:t>
      </w:r>
      <w:r w:rsidR="00243719">
        <w:t xml:space="preserve"> deals with the first three points via the computation of </w:t>
      </w:r>
      <w:r w:rsidR="00A5169F">
        <w:t>implied return</w:t>
      </w:r>
      <w:r w:rsidR="00243719">
        <w:t xml:space="preserve"> (</w:t>
      </w:r>
      <w:r w:rsidR="00A5169F">
        <w:t>IR</w:t>
      </w:r>
      <w:r w:rsidR="00243719">
        <w:t xml:space="preserve">). </w:t>
      </w:r>
      <w:r>
        <w:t>EIR</w:t>
      </w:r>
      <w:r w:rsidR="00243719">
        <w:t xml:space="preserve"> deals with the last point by </w:t>
      </w:r>
      <w:r w:rsidR="00C4474D">
        <w:t>subtracting</w:t>
      </w:r>
      <w:r w:rsidR="00243719">
        <w:t xml:space="preserve"> </w:t>
      </w:r>
      <w:r w:rsidR="00A14563">
        <w:t>required return computed using CAPM</w:t>
      </w:r>
      <w:r w:rsidR="00C4474D">
        <w:t xml:space="preserve"> from </w:t>
      </w:r>
      <w:r w:rsidR="00A5169F">
        <w:t>IR</w:t>
      </w:r>
      <w:r w:rsidR="00A14563">
        <w:t>.</w:t>
      </w:r>
      <w:r w:rsidR="00243719">
        <w:t xml:space="preserve"> Compared to PEG, </w:t>
      </w:r>
      <w:r>
        <w:t>EIR</w:t>
      </w:r>
      <w:r w:rsidR="00243719">
        <w:t xml:space="preserve"> </w:t>
      </w:r>
      <w:r w:rsidR="00A14563">
        <w:t xml:space="preserve">requires more </w:t>
      </w:r>
      <w:r w:rsidR="00243719">
        <w:t>inputs, computations, and concepts</w:t>
      </w:r>
      <w:r w:rsidR="00A14563">
        <w:t xml:space="preserve">. </w:t>
      </w:r>
      <w:r w:rsidR="00243719">
        <w:t>We next spell out the inputs and the c</w:t>
      </w:r>
      <w:r w:rsidR="00A14563">
        <w:t xml:space="preserve">omputations of </w:t>
      </w:r>
      <w:r>
        <w:t>EIR</w:t>
      </w:r>
      <w:r w:rsidR="00A14563">
        <w:t>.</w:t>
      </w:r>
    </w:p>
    <w:p w:rsidR="0029724D" w:rsidRDefault="00D85940" w:rsidP="00A14563">
      <w:pPr>
        <w:pStyle w:val="Heading1"/>
      </w:pPr>
      <w:r>
        <w:t>Our screen</w:t>
      </w:r>
      <w:r w:rsidR="00E41410">
        <w:t xml:space="preserve">: </w:t>
      </w:r>
      <w:r w:rsidR="00A5169F">
        <w:t>Excess</w:t>
      </w:r>
      <w:r w:rsidR="00F011ED">
        <w:t xml:space="preserve"> </w:t>
      </w:r>
      <w:r w:rsidR="00A5169F">
        <w:t>Implied Return</w:t>
      </w:r>
      <w:r w:rsidR="00F011ED">
        <w:t xml:space="preserve"> (</w:t>
      </w:r>
      <w:r w:rsidR="00757B7B">
        <w:t>EIR</w:t>
      </w:r>
      <w:r w:rsidR="00F011ED">
        <w:t>)</w:t>
      </w:r>
    </w:p>
    <w:p w:rsidR="00100EB0" w:rsidRDefault="00757B7B" w:rsidP="00033187">
      <w:pPr>
        <w:pStyle w:val="BodyText"/>
      </w:pPr>
      <w:r>
        <w:t>EIR</w:t>
      </w:r>
      <w:r w:rsidR="00854393">
        <w:t xml:space="preserve"> is motivated by the idea that a</w:t>
      </w:r>
      <w:r w:rsidR="00100EB0" w:rsidRPr="00100EB0">
        <w:t xml:space="preserve">n </w:t>
      </w:r>
      <w:r w:rsidR="00E10151">
        <w:t xml:space="preserve">investment is </w:t>
      </w:r>
      <w:r w:rsidR="00100EB0" w:rsidRPr="00100EB0">
        <w:t>“attractive</w:t>
      </w:r>
      <w:r w:rsidR="00E10151">
        <w:t>”</w:t>
      </w:r>
      <w:r w:rsidR="00100EB0" w:rsidRPr="00100EB0">
        <w:t xml:space="preserve"> </w:t>
      </w:r>
      <w:r w:rsidR="00E10151">
        <w:t xml:space="preserve">if its </w:t>
      </w:r>
      <w:r w:rsidR="005757B9">
        <w:t xml:space="preserve">implied </w:t>
      </w:r>
      <w:r w:rsidR="00A5169F">
        <w:t>excess return</w:t>
      </w:r>
      <w:r w:rsidR="00100EB0" w:rsidRPr="00100EB0">
        <w:t xml:space="preserve"> exceed</w:t>
      </w:r>
      <w:r w:rsidR="00247899">
        <w:t>s</w:t>
      </w:r>
      <w:r w:rsidR="00100EB0" w:rsidRPr="00100EB0">
        <w:t xml:space="preserve"> the </w:t>
      </w:r>
      <w:r w:rsidR="00C15304">
        <w:t>return</w:t>
      </w:r>
      <w:r w:rsidR="00B46EEE">
        <w:t xml:space="preserve"> </w:t>
      </w:r>
      <w:r w:rsidR="00A84F04">
        <w:t xml:space="preserve">that </w:t>
      </w:r>
      <w:r w:rsidR="00B46EEE">
        <w:t xml:space="preserve">one should require </w:t>
      </w:r>
      <w:r w:rsidR="00E71AEE">
        <w:t>based on its risk</w:t>
      </w:r>
      <w:r w:rsidR="009B66A8">
        <w:t>. We m</w:t>
      </w:r>
      <w:r w:rsidR="00A9765F">
        <w:t xml:space="preserve">easure the latter using </w:t>
      </w:r>
      <w:r w:rsidR="00AA7BFF">
        <w:t>CAPM</w:t>
      </w:r>
      <w:r w:rsidR="00E71AEE">
        <w:t>.</w:t>
      </w:r>
      <w:r w:rsidR="00E10151">
        <w:t xml:space="preserve"> </w:t>
      </w:r>
      <w:r>
        <w:t>EIR</w:t>
      </w:r>
      <w:r w:rsidR="00A9765F">
        <w:t xml:space="preserve"> is computed in three steps described below.</w:t>
      </w:r>
    </w:p>
    <w:p w:rsidR="00B96A95" w:rsidRDefault="007D2299" w:rsidP="00A14563">
      <w:pPr>
        <w:pStyle w:val="Heading2"/>
      </w:pPr>
      <w:r>
        <w:t xml:space="preserve">Step 1: </w:t>
      </w:r>
      <w:r w:rsidR="00255E67">
        <w:t xml:space="preserve">Infer </w:t>
      </w:r>
      <w:r w:rsidR="005757B9">
        <w:t xml:space="preserve">implied </w:t>
      </w:r>
      <w:r w:rsidR="00A5169F">
        <w:t>return</w:t>
      </w:r>
      <w:r w:rsidR="00F9147B">
        <w:t xml:space="preserve"> (</w:t>
      </w:r>
      <w:r w:rsidR="00A5169F">
        <w:t>IR</w:t>
      </w:r>
      <w:r w:rsidR="00F9147B">
        <w:t>)</w:t>
      </w:r>
    </w:p>
    <w:p w:rsidR="005704EA" w:rsidRDefault="00E86C95" w:rsidP="00033187">
      <w:pPr>
        <w:pStyle w:val="BodyText"/>
      </w:pPr>
      <w:r>
        <w:t xml:space="preserve">Our measure of the </w:t>
      </w:r>
      <w:r w:rsidR="005757B9">
        <w:t xml:space="preserve">implied </w:t>
      </w:r>
      <w:r w:rsidR="00A5169F">
        <w:t>return</w:t>
      </w:r>
      <w:r w:rsidR="001064CB">
        <w:t xml:space="preserve"> is the discount rate</w:t>
      </w:r>
      <w:r w:rsidR="00C15304">
        <w:t xml:space="preserve"> (r</w:t>
      </w:r>
      <w:r w:rsidR="00C15304" w:rsidRPr="00C15304">
        <w:rPr>
          <w:vertAlign w:val="subscript"/>
        </w:rPr>
        <w:t>e</w:t>
      </w:r>
      <w:r w:rsidR="00C15304">
        <w:t>)</w:t>
      </w:r>
      <w:r w:rsidR="001064CB">
        <w:t xml:space="preserve"> </w:t>
      </w:r>
      <w:r w:rsidR="00E20F0B">
        <w:t xml:space="preserve">inferred from </w:t>
      </w:r>
      <w:r w:rsidR="001064CB">
        <w:t>the current stock price and earnings forecasts</w:t>
      </w:r>
      <w:r w:rsidR="00247899">
        <w:t xml:space="preserve">. </w:t>
      </w:r>
      <w:r w:rsidR="005704EA">
        <w:t>Such reverse engineering requires the following</w:t>
      </w:r>
      <w:r w:rsidR="00A84F04">
        <w:t xml:space="preserve"> inputs</w:t>
      </w:r>
      <w:r w:rsidR="005704EA">
        <w:t>:</w:t>
      </w:r>
    </w:p>
    <w:p w:rsidR="008326EF" w:rsidRDefault="008326EF" w:rsidP="00033187">
      <w:pPr>
        <w:pStyle w:val="BodyText"/>
      </w:pPr>
      <w:r>
        <w:t>Firm-specific inputs</w:t>
      </w:r>
      <w:r w:rsidR="007408E7">
        <w:t>:</w:t>
      </w:r>
    </w:p>
    <w:p w:rsidR="005704EA" w:rsidRDefault="005704EA" w:rsidP="005704EA">
      <w:pPr>
        <w:pStyle w:val="BodyText"/>
        <w:numPr>
          <w:ilvl w:val="0"/>
          <w:numId w:val="12"/>
        </w:numPr>
      </w:pPr>
      <w:r>
        <w:t>P</w:t>
      </w:r>
      <w:r w:rsidRPr="007B6642">
        <w:rPr>
          <w:vertAlign w:val="subscript"/>
        </w:rPr>
        <w:t>0</w:t>
      </w:r>
      <w:r>
        <w:t>: Current stock price per share</w:t>
      </w:r>
    </w:p>
    <w:p w:rsidR="005704EA" w:rsidRDefault="005704EA" w:rsidP="005704EA">
      <w:pPr>
        <w:pStyle w:val="BodyText"/>
        <w:numPr>
          <w:ilvl w:val="0"/>
          <w:numId w:val="12"/>
        </w:numPr>
      </w:pPr>
      <w:r>
        <w:t>e</w:t>
      </w:r>
      <w:r w:rsidRPr="007B6642">
        <w:rPr>
          <w:vertAlign w:val="subscript"/>
        </w:rPr>
        <w:t>1</w:t>
      </w:r>
      <w:r>
        <w:t xml:space="preserve"> and e</w:t>
      </w:r>
      <w:r w:rsidRPr="007B6642">
        <w:rPr>
          <w:vertAlign w:val="subscript"/>
        </w:rPr>
        <w:t>2</w:t>
      </w:r>
      <w:r>
        <w:t>: Analyst forecasts of earnings per share for Y1 and Y2.</w:t>
      </w:r>
    </w:p>
    <w:p w:rsidR="005704EA" w:rsidRDefault="005704EA" w:rsidP="005704EA">
      <w:pPr>
        <w:pStyle w:val="BodyText"/>
        <w:numPr>
          <w:ilvl w:val="0"/>
          <w:numId w:val="12"/>
        </w:numPr>
      </w:pPr>
      <w:r>
        <w:t>d</w:t>
      </w:r>
      <w:r w:rsidRPr="007B6642">
        <w:rPr>
          <w:vertAlign w:val="subscript"/>
        </w:rPr>
        <w:t>1</w:t>
      </w:r>
      <w:r>
        <w:t>: Analyst forecast of dividends per share for Y1. If this is not available, then d</w:t>
      </w:r>
      <w:r w:rsidRPr="00F83034">
        <w:rPr>
          <w:vertAlign w:val="subscript"/>
        </w:rPr>
        <w:t>1</w:t>
      </w:r>
      <w:r>
        <w:t xml:space="preserve"> is approximated by current dividend payout times e</w:t>
      </w:r>
      <w:r w:rsidRPr="007B6642">
        <w:rPr>
          <w:vertAlign w:val="subscript"/>
        </w:rPr>
        <w:t>1</w:t>
      </w:r>
      <w:r>
        <w:t>.</w:t>
      </w:r>
    </w:p>
    <w:p w:rsidR="005704EA" w:rsidRDefault="005704EA" w:rsidP="005704EA">
      <w:pPr>
        <w:pStyle w:val="BodyText"/>
        <w:numPr>
          <w:ilvl w:val="0"/>
          <w:numId w:val="12"/>
        </w:numPr>
      </w:pPr>
      <w:r>
        <w:t>g: Terminal growth rate in residual change in earnings.</w:t>
      </w:r>
    </w:p>
    <w:p w:rsidR="008326EF" w:rsidRDefault="00EB02B4" w:rsidP="008326EF">
      <w:pPr>
        <w:pStyle w:val="BodyText"/>
      </w:pPr>
      <w:r>
        <w:t>Common</w:t>
      </w:r>
      <w:r w:rsidR="008326EF">
        <w:t xml:space="preserve"> input for all firms</w:t>
      </w:r>
      <w:r w:rsidR="007408E7">
        <w:t>:</w:t>
      </w:r>
    </w:p>
    <w:p w:rsidR="00934CE5" w:rsidRDefault="00934CE5" w:rsidP="005704EA">
      <w:pPr>
        <w:pStyle w:val="BodyText"/>
        <w:numPr>
          <w:ilvl w:val="0"/>
          <w:numId w:val="12"/>
        </w:numPr>
      </w:pPr>
      <w:r>
        <w:t>r</w:t>
      </w:r>
      <w:r w:rsidR="00F141A9">
        <w:rPr>
          <w:vertAlign w:val="subscript"/>
        </w:rPr>
        <w:t>L</w:t>
      </w:r>
      <w:r>
        <w:t xml:space="preserve">: </w:t>
      </w:r>
      <w:r w:rsidRPr="00934CE5">
        <w:t>forward earnings yield or forward</w:t>
      </w:r>
      <w:r w:rsidR="00854393">
        <w:t xml:space="preserve"> E/P ratio in the very long run.</w:t>
      </w:r>
      <w:r w:rsidR="00D70F5E">
        <w:t xml:space="preserve"> Historical data suggests r</w:t>
      </w:r>
      <w:r w:rsidR="0080711D">
        <w:rPr>
          <w:vertAlign w:val="subscript"/>
        </w:rPr>
        <w:t>L</w:t>
      </w:r>
      <w:r w:rsidR="00D70F5E">
        <w:t xml:space="preserve"> to be about 6%.</w:t>
      </w:r>
    </w:p>
    <w:p w:rsidR="00D70F5E" w:rsidRDefault="00C15304" w:rsidP="00033187">
      <w:pPr>
        <w:pStyle w:val="BodyText"/>
      </w:pPr>
      <w:r>
        <w:t>We set</w:t>
      </w:r>
      <w:r w:rsidR="00AA0E0E">
        <w:t xml:space="preserve"> </w:t>
      </w:r>
      <w:r w:rsidR="00033187">
        <w:t>g = r</w:t>
      </w:r>
      <w:r w:rsidR="00033187" w:rsidRPr="00FE337A">
        <w:rPr>
          <w:vertAlign w:val="subscript"/>
        </w:rPr>
        <w:t>e</w:t>
      </w:r>
      <w:r w:rsidR="00033187">
        <w:t xml:space="preserve"> – r</w:t>
      </w:r>
      <w:r w:rsidR="0080711D">
        <w:rPr>
          <w:vertAlign w:val="subscript"/>
        </w:rPr>
        <w:t>L</w:t>
      </w:r>
      <w:r w:rsidR="00033187">
        <w:t xml:space="preserve"> to capture the idea </w:t>
      </w:r>
      <w:r w:rsidR="00B3743C">
        <w:t>that growth and risk go together</w:t>
      </w:r>
      <w:r w:rsidR="00033187">
        <w:t>.</w:t>
      </w:r>
      <w:r w:rsidR="00934CE5">
        <w:t xml:space="preserve"> Since r</w:t>
      </w:r>
      <w:r w:rsidR="0080711D">
        <w:rPr>
          <w:vertAlign w:val="subscript"/>
        </w:rPr>
        <w:t>L</w:t>
      </w:r>
      <w:r w:rsidR="00934CE5">
        <w:t xml:space="preserve"> is the same for all firms</w:t>
      </w:r>
      <w:r w:rsidR="008C3BE1">
        <w:t>,</w:t>
      </w:r>
      <w:r w:rsidR="00210385">
        <w:t xml:space="preserve"> a</w:t>
      </w:r>
      <w:r w:rsidR="008C3BE1">
        <w:t xml:space="preserve"> </w:t>
      </w:r>
      <w:r w:rsidR="005472F2">
        <w:t xml:space="preserve">high g implies </w:t>
      </w:r>
      <w:r w:rsidR="00210385">
        <w:t xml:space="preserve">a </w:t>
      </w:r>
      <w:r w:rsidR="005472F2">
        <w:t>high r</w:t>
      </w:r>
      <w:r w:rsidR="005472F2" w:rsidRPr="005472F2">
        <w:rPr>
          <w:vertAlign w:val="subscript"/>
        </w:rPr>
        <w:t>e</w:t>
      </w:r>
      <w:r w:rsidR="005472F2">
        <w:t xml:space="preserve">, and vice versa. </w:t>
      </w:r>
      <w:r w:rsidR="00D70F5E">
        <w:t>We then use the</w:t>
      </w:r>
      <w:r w:rsidR="00AD65F4">
        <w:t xml:space="preserve"> following</w:t>
      </w:r>
      <w:r w:rsidR="00D70F5E">
        <w:t xml:space="preserve"> Ohlson-J</w:t>
      </w:r>
      <w:r w:rsidR="007408E7">
        <w:t>uettner (OJ) valuation formula</w:t>
      </w:r>
      <w:r w:rsidR="009802DD">
        <w:t xml:space="preserve"> (developed later)</w:t>
      </w:r>
      <w:r w:rsidR="007408E7">
        <w:t xml:space="preserve"> </w:t>
      </w:r>
      <w:r w:rsidR="00D70F5E">
        <w:t>to solve for the discount rate that relates current stock price to future earnings forecasts.</w:t>
      </w:r>
      <w:r w:rsidR="007408E7">
        <w:t xml:space="preserve"> </w:t>
      </w:r>
    </w:p>
    <w:tbl>
      <w:tblPr>
        <w:tblW w:w="0" w:type="auto"/>
        <w:shd w:val="clear" w:color="auto" w:fill="CCECFF"/>
        <w:tblCellMar>
          <w:left w:w="0" w:type="dxa"/>
          <w:right w:w="0" w:type="dxa"/>
        </w:tblCellMar>
        <w:tblLook w:val="01E0" w:firstRow="1" w:lastRow="1" w:firstColumn="1" w:lastColumn="1" w:noHBand="0" w:noVBand="0"/>
      </w:tblPr>
      <w:tblGrid>
        <w:gridCol w:w="2404"/>
        <w:gridCol w:w="1928"/>
      </w:tblGrid>
      <w:tr w:rsidR="00D70F5E" w:rsidTr="00AC2B3B">
        <w:trPr>
          <w:cantSplit/>
        </w:trPr>
        <w:tc>
          <w:tcPr>
            <w:tcW w:w="2404" w:type="dxa"/>
            <w:vMerge w:val="restart"/>
            <w:shd w:val="clear" w:color="auto" w:fill="CCECFF"/>
            <w:vAlign w:val="center"/>
          </w:tcPr>
          <w:p w:rsidR="00D70F5E" w:rsidRPr="00FE337A" w:rsidRDefault="005757B9" w:rsidP="009D07E7">
            <w:pPr>
              <w:keepNext/>
              <w:jc w:val="center"/>
            </w:pPr>
            <w:r>
              <w:t xml:space="preserve">Implied </w:t>
            </w:r>
            <w:r w:rsidR="00A5169F">
              <w:t>return</w:t>
            </w:r>
            <w:r w:rsidR="00D70F5E">
              <w:t xml:space="preserve"> (</w:t>
            </w:r>
            <w:r w:rsidR="00A5169F">
              <w:t>IR</w:t>
            </w:r>
            <w:r w:rsidR="00D70F5E">
              <w:t>) or r</w:t>
            </w:r>
            <w:r w:rsidR="00D70F5E" w:rsidRPr="00607345">
              <w:rPr>
                <w:vertAlign w:val="subscript"/>
              </w:rPr>
              <w:t>e</w:t>
            </w:r>
            <w:r w:rsidR="00D70F5E">
              <w:t xml:space="preserve"> =</w:t>
            </w:r>
          </w:p>
        </w:tc>
        <w:tc>
          <w:tcPr>
            <w:tcW w:w="1928" w:type="dxa"/>
            <w:tcBorders>
              <w:bottom w:val="single" w:sz="2" w:space="0" w:color="auto"/>
            </w:tcBorders>
            <w:shd w:val="clear" w:color="auto" w:fill="CCECFF"/>
            <w:vAlign w:val="center"/>
          </w:tcPr>
          <w:p w:rsidR="00D70F5E" w:rsidRPr="00AC433B" w:rsidRDefault="00D70F5E" w:rsidP="009D07E7">
            <w:pPr>
              <w:keepNext/>
              <w:jc w:val="center"/>
            </w:pPr>
            <w:r>
              <w:t>(e</w:t>
            </w:r>
            <w:r w:rsidRPr="00AC433B">
              <w:rPr>
                <w:vertAlign w:val="subscript"/>
              </w:rPr>
              <w:t>2</w:t>
            </w:r>
            <w:r>
              <w:rPr>
                <w:vertAlign w:val="subscript"/>
              </w:rPr>
              <w:t xml:space="preserve"> </w:t>
            </w:r>
            <w:r>
              <w:t>- e</w:t>
            </w:r>
            <w:r w:rsidRPr="00AC433B">
              <w:rPr>
                <w:vertAlign w:val="subscript"/>
              </w:rPr>
              <w:t>1</w:t>
            </w:r>
            <w:r>
              <w:t>)/e</w:t>
            </w:r>
            <w:r w:rsidRPr="00AC433B">
              <w:rPr>
                <w:vertAlign w:val="subscript"/>
              </w:rPr>
              <w:t>1</w:t>
            </w:r>
            <w:r>
              <w:t>+ r</w:t>
            </w:r>
            <w:r w:rsidR="0080711D">
              <w:rPr>
                <w:vertAlign w:val="subscript"/>
              </w:rPr>
              <w:t>L</w:t>
            </w:r>
          </w:p>
        </w:tc>
      </w:tr>
      <w:tr w:rsidR="00D70F5E" w:rsidTr="00AC2B3B">
        <w:trPr>
          <w:cantSplit/>
        </w:trPr>
        <w:tc>
          <w:tcPr>
            <w:tcW w:w="2404" w:type="dxa"/>
            <w:vMerge/>
            <w:shd w:val="clear" w:color="auto" w:fill="CCECFF"/>
            <w:vAlign w:val="center"/>
          </w:tcPr>
          <w:p w:rsidR="00D70F5E" w:rsidRDefault="00D70F5E" w:rsidP="009D07E7">
            <w:pPr>
              <w:keepNext/>
              <w:jc w:val="center"/>
            </w:pPr>
          </w:p>
        </w:tc>
        <w:tc>
          <w:tcPr>
            <w:tcW w:w="1928" w:type="dxa"/>
            <w:tcBorders>
              <w:top w:val="single" w:sz="2" w:space="0" w:color="auto"/>
            </w:tcBorders>
            <w:shd w:val="clear" w:color="auto" w:fill="CCECFF"/>
            <w:vAlign w:val="center"/>
          </w:tcPr>
          <w:p w:rsidR="00D70F5E" w:rsidRDefault="00D70F5E" w:rsidP="009D07E7">
            <w:pPr>
              <w:keepNext/>
              <w:jc w:val="center"/>
            </w:pPr>
            <w:r>
              <w:t>(r</w:t>
            </w:r>
            <w:r w:rsidR="0080711D">
              <w:rPr>
                <w:vertAlign w:val="subscript"/>
              </w:rPr>
              <w:t>L</w:t>
            </w:r>
            <w:r>
              <w:t>P</w:t>
            </w:r>
            <w:r w:rsidRPr="00AC433B">
              <w:rPr>
                <w:vertAlign w:val="subscript"/>
              </w:rPr>
              <w:t>0</w:t>
            </w:r>
            <w:r>
              <w:t>/e</w:t>
            </w:r>
            <w:r w:rsidRPr="00AC433B">
              <w:rPr>
                <w:vertAlign w:val="subscript"/>
              </w:rPr>
              <w:t>1</w:t>
            </w:r>
            <w:r>
              <w:t>+1 – d</w:t>
            </w:r>
            <w:r w:rsidRPr="00F1650E">
              <w:rPr>
                <w:vertAlign w:val="subscript"/>
              </w:rPr>
              <w:t>1</w:t>
            </w:r>
            <w:r>
              <w:t>/e</w:t>
            </w:r>
            <w:r w:rsidRPr="00AC433B">
              <w:rPr>
                <w:vertAlign w:val="subscript"/>
              </w:rPr>
              <w:t>1</w:t>
            </w:r>
            <w:r>
              <w:t>)</w:t>
            </w:r>
          </w:p>
        </w:tc>
      </w:tr>
    </w:tbl>
    <w:p w:rsidR="00B96A95" w:rsidRPr="004B2538" w:rsidRDefault="007D2299" w:rsidP="00A14563">
      <w:pPr>
        <w:pStyle w:val="Heading2"/>
      </w:pPr>
      <w:r>
        <w:t xml:space="preserve">Step 2: </w:t>
      </w:r>
      <w:r w:rsidR="00F9147B">
        <w:t xml:space="preserve">Compute </w:t>
      </w:r>
      <w:r w:rsidR="00D479F6">
        <w:t xml:space="preserve">required </w:t>
      </w:r>
      <w:r w:rsidR="00A649B7">
        <w:t xml:space="preserve">return </w:t>
      </w:r>
      <w:r w:rsidR="00F9147B">
        <w:t>using CAPM</w:t>
      </w:r>
      <w:r w:rsidR="0090273C">
        <w:t xml:space="preserve"> (RR)</w:t>
      </w:r>
    </w:p>
    <w:p w:rsidR="00A3145A" w:rsidRDefault="005704EA" w:rsidP="005704EA">
      <w:pPr>
        <w:pStyle w:val="BodyText"/>
      </w:pPr>
      <w:r>
        <w:t>We infer the required return</w:t>
      </w:r>
      <w:r w:rsidR="00A85CDC">
        <w:t xml:space="preserve"> based on risk</w:t>
      </w:r>
      <w:r w:rsidR="00C3104C">
        <w:t xml:space="preserve"> using CAPM. </w:t>
      </w:r>
      <w:r w:rsidR="001118F0">
        <w:t xml:space="preserve">Most CAPM implementations use historical realized return or surveys to set the market risk premium. Our spreadsheet allows this approach. </w:t>
      </w:r>
      <w:r w:rsidR="00A3145A">
        <w:t xml:space="preserve">However, we believe that the computation of implied risk premium for the market portfolio should be the same as that for individual stocks. Therefore, we </w:t>
      </w:r>
      <w:r w:rsidR="001F0D57">
        <w:t xml:space="preserve">use the IR formula to estimate the implied </w:t>
      </w:r>
      <w:r w:rsidR="00A3145A">
        <w:t>risk premium</w:t>
      </w:r>
      <w:r w:rsidR="001F0D57">
        <w:t xml:space="preserve"> for the market portfolio.</w:t>
      </w:r>
    </w:p>
    <w:p w:rsidR="005704EA" w:rsidRDefault="00A3145A" w:rsidP="005704EA">
      <w:pPr>
        <w:pStyle w:val="BodyText"/>
      </w:pPr>
      <w:r>
        <w:t>T</w:t>
      </w:r>
      <w:r w:rsidR="00C3104C">
        <w:t>his step requires the following inputs:</w:t>
      </w:r>
    </w:p>
    <w:p w:rsidR="00934CE5" w:rsidRDefault="00934CE5" w:rsidP="00934CE5">
      <w:pPr>
        <w:pStyle w:val="BodyText"/>
        <w:numPr>
          <w:ilvl w:val="0"/>
          <w:numId w:val="12"/>
        </w:numPr>
      </w:pPr>
      <w:r>
        <w:t>r</w:t>
      </w:r>
      <w:r w:rsidRPr="00934CE5">
        <w:rPr>
          <w:vertAlign w:val="subscript"/>
        </w:rPr>
        <w:t>f</w:t>
      </w:r>
      <w:r>
        <w:t>: risk free rate used to derive market risk premium</w:t>
      </w:r>
      <w:r w:rsidR="00063E4C">
        <w:t xml:space="preserve"> [yield on 10-year government bonds]</w:t>
      </w:r>
    </w:p>
    <w:p w:rsidR="005704EA" w:rsidRPr="004E6C72" w:rsidRDefault="005704EA" w:rsidP="005704EA">
      <w:pPr>
        <w:pStyle w:val="BodyText"/>
        <w:numPr>
          <w:ilvl w:val="0"/>
          <w:numId w:val="12"/>
        </w:numPr>
        <w:rPr>
          <w:rFonts w:ascii="Symbol" w:hAnsi="Symbol"/>
        </w:rPr>
      </w:pPr>
      <w:r w:rsidRPr="007B6642">
        <w:rPr>
          <w:rFonts w:ascii="Symbol" w:hAnsi="Symbol"/>
        </w:rPr>
        <w:t></w:t>
      </w:r>
      <w:r>
        <w:t>: company’s beta</w:t>
      </w:r>
    </w:p>
    <w:p w:rsidR="005704EA" w:rsidRPr="00455243" w:rsidRDefault="005704EA" w:rsidP="005704EA">
      <w:pPr>
        <w:pStyle w:val="BodyText"/>
        <w:numPr>
          <w:ilvl w:val="0"/>
          <w:numId w:val="12"/>
        </w:numPr>
        <w:rPr>
          <w:rFonts w:ascii="Symbol" w:hAnsi="Symbol"/>
        </w:rPr>
      </w:pPr>
      <w:r>
        <w:t>mP</w:t>
      </w:r>
      <w:r w:rsidRPr="00455243">
        <w:rPr>
          <w:vertAlign w:val="subscript"/>
        </w:rPr>
        <w:t>0</w:t>
      </w:r>
      <w:r>
        <w:rPr>
          <w:rFonts w:ascii="Symbol" w:hAnsi="Symbol"/>
        </w:rPr>
        <w:t></w:t>
      </w:r>
      <w:r>
        <w:rPr>
          <w:rFonts w:ascii="Symbol" w:hAnsi="Symbol"/>
        </w:rPr>
        <w:t></w:t>
      </w:r>
      <w:r>
        <w:t>Price of the market portfolio (S&amp;P</w:t>
      </w:r>
      <w:r w:rsidR="00182452">
        <w:t xml:space="preserve"> </w:t>
      </w:r>
      <w:r>
        <w:t>index) per share</w:t>
      </w:r>
    </w:p>
    <w:p w:rsidR="005704EA" w:rsidRPr="00911447" w:rsidRDefault="005704EA" w:rsidP="005704EA">
      <w:pPr>
        <w:pStyle w:val="BodyText"/>
        <w:numPr>
          <w:ilvl w:val="0"/>
          <w:numId w:val="12"/>
        </w:numPr>
        <w:rPr>
          <w:rFonts w:ascii="Symbol" w:hAnsi="Symbol"/>
        </w:rPr>
      </w:pPr>
      <w:r>
        <w:t>me</w:t>
      </w:r>
      <w:r w:rsidRPr="007B6642">
        <w:rPr>
          <w:vertAlign w:val="subscript"/>
        </w:rPr>
        <w:t>1</w:t>
      </w:r>
      <w:r>
        <w:t xml:space="preserve"> and me</w:t>
      </w:r>
      <w:r w:rsidRPr="007B6642">
        <w:rPr>
          <w:vertAlign w:val="subscript"/>
        </w:rPr>
        <w:t>2</w:t>
      </w:r>
      <w:r>
        <w:t>: Analyst forecasts of earnings per share for the market portfolio (S&amp;P index) for Y1 and Y2</w:t>
      </w:r>
    </w:p>
    <w:p w:rsidR="005704EA" w:rsidRPr="00AC7952" w:rsidRDefault="005704EA" w:rsidP="005704EA">
      <w:pPr>
        <w:pStyle w:val="BodyText"/>
        <w:numPr>
          <w:ilvl w:val="0"/>
          <w:numId w:val="12"/>
        </w:numPr>
        <w:rPr>
          <w:rFonts w:ascii="Symbol" w:hAnsi="Symbol"/>
        </w:rPr>
      </w:pPr>
      <w:r>
        <w:t>md</w:t>
      </w:r>
      <w:r w:rsidRPr="00911447">
        <w:rPr>
          <w:vertAlign w:val="subscript"/>
        </w:rPr>
        <w:t>1</w:t>
      </w:r>
      <w:r>
        <w:t>: Analyst forecast of dividends per share for the market por</w:t>
      </w:r>
      <w:r w:rsidR="00AC7952">
        <w:t>tfolio (S&amp;P index) for Y1</w:t>
      </w:r>
    </w:p>
    <w:p w:rsidR="00AC7952" w:rsidRPr="00AC7952" w:rsidRDefault="00AC7952" w:rsidP="00AC7952">
      <w:pPr>
        <w:pStyle w:val="BodyText"/>
        <w:numPr>
          <w:ilvl w:val="0"/>
          <w:numId w:val="12"/>
        </w:numPr>
      </w:pPr>
      <w:r>
        <w:t>r</w:t>
      </w:r>
      <w:r>
        <w:rPr>
          <w:vertAlign w:val="subscript"/>
        </w:rPr>
        <w:t>L</w:t>
      </w:r>
      <w:r>
        <w:t xml:space="preserve">: </w:t>
      </w:r>
      <w:r w:rsidRPr="00934CE5">
        <w:t>forward earnings yield or forward</w:t>
      </w:r>
      <w:r>
        <w:t xml:space="preserve"> E/P ratio in the very long run described above</w:t>
      </w:r>
    </w:p>
    <w:p w:rsidR="000F212B" w:rsidRPr="00BA700A" w:rsidRDefault="00657C88" w:rsidP="000F212B">
      <w:pPr>
        <w:pStyle w:val="BodyText"/>
      </w:pPr>
      <w:r>
        <w:t>This step implies that t</w:t>
      </w:r>
      <w:r w:rsidR="000F212B">
        <w:t>he required return on</w:t>
      </w:r>
      <w:r w:rsidR="000F212B" w:rsidRPr="00B93B22">
        <w:t xml:space="preserve"> the market portfolio is </w:t>
      </w:r>
      <w:r w:rsidR="000F212B">
        <w:t>equal the</w:t>
      </w:r>
      <w:r w:rsidR="000F212B" w:rsidRPr="00B93B22">
        <w:t xml:space="preserve"> </w:t>
      </w:r>
      <w:r w:rsidR="005757B9">
        <w:t xml:space="preserve">implied </w:t>
      </w:r>
      <w:r w:rsidR="00A5169F">
        <w:t>return</w:t>
      </w:r>
      <w:r w:rsidR="000F212B">
        <w:t xml:space="preserve"> on the market portfolio, i.e., the overall market is assumed to be correctly priced. </w:t>
      </w:r>
      <w:r w:rsidR="0098357E">
        <w:t>That is</w:t>
      </w:r>
      <w:r w:rsidR="000F212B">
        <w:t xml:space="preserve">, our procedure </w:t>
      </w:r>
      <w:r w:rsidR="00EB5098">
        <w:t>can only detect relative mispricing of individual firms</w:t>
      </w:r>
      <w:r w:rsidR="000F212B">
        <w:t xml:space="preserve">. </w:t>
      </w:r>
    </w:p>
    <w:p w:rsidR="000F212B" w:rsidRDefault="00FC4051" w:rsidP="000F212B">
      <w:pPr>
        <w:pStyle w:val="Heading3"/>
      </w:pPr>
      <w:r>
        <w:t>A</w:t>
      </w:r>
      <w:r w:rsidR="00093575">
        <w:t xml:space="preserve"> simplified version of the above approach</w:t>
      </w:r>
    </w:p>
    <w:p w:rsidR="000F212B" w:rsidRPr="00FC4051" w:rsidRDefault="00FC4051" w:rsidP="000F212B">
      <w:pPr>
        <w:pStyle w:val="BodyText"/>
      </w:pPr>
      <w:r>
        <w:t>The above derivation of the market risk premium requires mP</w:t>
      </w:r>
      <w:r w:rsidRPr="00FC4051">
        <w:rPr>
          <w:vertAlign w:val="subscript"/>
        </w:rPr>
        <w:t>0</w:t>
      </w:r>
      <w:r>
        <w:t>, me</w:t>
      </w:r>
      <w:r w:rsidRPr="00FC4051">
        <w:rPr>
          <w:vertAlign w:val="subscript"/>
        </w:rPr>
        <w:t>1</w:t>
      </w:r>
      <w:r>
        <w:t>, and me</w:t>
      </w:r>
      <w:r w:rsidRPr="00FC4051">
        <w:rPr>
          <w:vertAlign w:val="subscript"/>
        </w:rPr>
        <w:t>2</w:t>
      </w:r>
      <w:r w:rsidR="00443CAE">
        <w:t>.</w:t>
      </w:r>
      <w:r w:rsidR="001C438B">
        <w:t xml:space="preserve"> Sometimes, it is easier to get the forward PE ratio for the market and expected growth in </w:t>
      </w:r>
      <w:r w:rsidR="0012784B">
        <w:t xml:space="preserve">market </w:t>
      </w:r>
      <w:r w:rsidR="001C438B">
        <w:t xml:space="preserve">earnings. In that case, one </w:t>
      </w:r>
      <w:r w:rsidR="00B64E5C">
        <w:t xml:space="preserve">can </w:t>
      </w:r>
      <w:r w:rsidR="0012784B">
        <w:t>derive market risk premium using the following:</w:t>
      </w:r>
    </w:p>
    <w:p w:rsidR="00863DEF" w:rsidRDefault="007A1F40" w:rsidP="000F212B">
      <w:pPr>
        <w:pStyle w:val="BodyText"/>
        <w:numPr>
          <w:ilvl w:val="0"/>
          <w:numId w:val="12"/>
        </w:numPr>
      </w:pPr>
      <w:r>
        <w:t>Assumed mP</w:t>
      </w:r>
      <w:r w:rsidRPr="007A1F40">
        <w:rPr>
          <w:vertAlign w:val="subscript"/>
        </w:rPr>
        <w:t>0</w:t>
      </w:r>
      <w:r w:rsidR="000F212B">
        <w:t xml:space="preserve"> = 10.</w:t>
      </w:r>
      <w:r w:rsidR="00182452">
        <w:t xml:space="preserve"> </w:t>
      </w:r>
      <w:r w:rsidR="000F212B">
        <w:t>There is no loss of</w:t>
      </w:r>
      <w:r w:rsidR="00863DEF">
        <w:t xml:space="preserve"> generality</w:t>
      </w:r>
      <w:r>
        <w:t>.</w:t>
      </w:r>
    </w:p>
    <w:p w:rsidR="00863DEF" w:rsidRDefault="007A1F40" w:rsidP="000F212B">
      <w:pPr>
        <w:pStyle w:val="BodyText"/>
        <w:numPr>
          <w:ilvl w:val="0"/>
          <w:numId w:val="12"/>
        </w:numPr>
      </w:pPr>
      <w:r>
        <w:t>Derived me</w:t>
      </w:r>
      <w:r w:rsidRPr="007A1F40">
        <w:rPr>
          <w:vertAlign w:val="subscript"/>
        </w:rPr>
        <w:t>1</w:t>
      </w:r>
      <w:r>
        <w:t xml:space="preserve"> = 10/Forward </w:t>
      </w:r>
      <w:r w:rsidR="000F212B">
        <w:t>P</w:t>
      </w:r>
      <w:r>
        <w:t>E</w:t>
      </w:r>
      <w:r w:rsidR="000F212B">
        <w:t xml:space="preserve">. This PE for the market is </w:t>
      </w:r>
      <w:r>
        <w:t>available on several popular websites such as Y</w:t>
      </w:r>
      <w:r w:rsidR="000F212B">
        <w:t>ahoo finance.</w:t>
      </w:r>
    </w:p>
    <w:p w:rsidR="00863DEF" w:rsidRDefault="007A1F40" w:rsidP="000F212B">
      <w:pPr>
        <w:pStyle w:val="BodyText"/>
        <w:numPr>
          <w:ilvl w:val="0"/>
          <w:numId w:val="12"/>
        </w:numPr>
      </w:pPr>
      <w:r>
        <w:t>me</w:t>
      </w:r>
      <w:r w:rsidRPr="007A1F40">
        <w:rPr>
          <w:vertAlign w:val="subscript"/>
        </w:rPr>
        <w:t>2</w:t>
      </w:r>
      <w:r w:rsidR="000F212B">
        <w:t xml:space="preserve"> = (1+gr</w:t>
      </w:r>
      <w:r>
        <w:t>owth</w:t>
      </w:r>
      <w:r w:rsidR="00FC4051">
        <w:t xml:space="preserve"> rate of me</w:t>
      </w:r>
      <w:r w:rsidR="00FC4051" w:rsidRPr="00FC4051">
        <w:rPr>
          <w:vertAlign w:val="subscript"/>
        </w:rPr>
        <w:t>1</w:t>
      </w:r>
      <w:r w:rsidR="00FC4051">
        <w:t>)*</w:t>
      </w:r>
      <w:r>
        <w:t>me</w:t>
      </w:r>
      <w:r w:rsidRPr="007A1F40">
        <w:rPr>
          <w:vertAlign w:val="subscript"/>
        </w:rPr>
        <w:t>1</w:t>
      </w:r>
      <w:r w:rsidR="000F212B">
        <w:t xml:space="preserve">. This forward growth in </w:t>
      </w:r>
      <w:r w:rsidR="00FC4051">
        <w:t>market EPS</w:t>
      </w:r>
      <w:r w:rsidR="000F212B">
        <w:t xml:space="preserve"> is also quoted in </w:t>
      </w:r>
      <w:r w:rsidR="000B1D5C">
        <w:t xml:space="preserve">the </w:t>
      </w:r>
      <w:r w:rsidR="000F212B">
        <w:t>media.</w:t>
      </w:r>
    </w:p>
    <w:p w:rsidR="000F212B" w:rsidRDefault="000F212B" w:rsidP="000F212B">
      <w:pPr>
        <w:pStyle w:val="BodyText"/>
        <w:numPr>
          <w:ilvl w:val="0"/>
          <w:numId w:val="12"/>
        </w:numPr>
      </w:pPr>
      <w:r>
        <w:t xml:space="preserve">The dividend payout: any reasonable number is </w:t>
      </w:r>
      <w:r w:rsidR="00A41F62">
        <w:t>acceptable</w:t>
      </w:r>
      <w:r>
        <w:t>.</w:t>
      </w:r>
    </w:p>
    <w:p w:rsidR="000F212B" w:rsidRDefault="0012784B" w:rsidP="000F212B">
      <w:pPr>
        <w:pStyle w:val="BodyText"/>
      </w:pPr>
      <w:r>
        <w:t xml:space="preserve">If one wants to derive a pre-set market risk premium, then </w:t>
      </w:r>
      <w:r w:rsidR="006C1CDA">
        <w:t>one can try different growth rate</w:t>
      </w:r>
      <w:r>
        <w:t>s</w:t>
      </w:r>
      <w:r w:rsidR="006C1CDA">
        <w:t xml:space="preserve"> </w:t>
      </w:r>
      <w:r w:rsidR="00DF0862">
        <w:t>for</w:t>
      </w:r>
      <w:r w:rsidR="006C1CDA">
        <w:t xml:space="preserve"> me</w:t>
      </w:r>
      <w:r w:rsidR="006C1CDA" w:rsidRPr="006C1CDA">
        <w:rPr>
          <w:vertAlign w:val="subscript"/>
        </w:rPr>
        <w:t>1</w:t>
      </w:r>
      <w:r>
        <w:t>.</w:t>
      </w:r>
    </w:p>
    <w:p w:rsidR="004E7D82" w:rsidRPr="00B93B22" w:rsidRDefault="007D2299" w:rsidP="00A14563">
      <w:pPr>
        <w:pStyle w:val="Heading2"/>
      </w:pPr>
      <w:r>
        <w:t xml:space="preserve">Step 3: </w:t>
      </w:r>
      <w:r w:rsidR="00757B7B">
        <w:t>EIR</w:t>
      </w:r>
      <w:r w:rsidR="00C4474D">
        <w:t xml:space="preserve"> = </w:t>
      </w:r>
      <w:r w:rsidR="005757B9">
        <w:t xml:space="preserve">implied </w:t>
      </w:r>
      <w:r w:rsidR="00A5169F">
        <w:t>return</w:t>
      </w:r>
      <w:r w:rsidR="00C4474D">
        <w:t xml:space="preserve"> – </w:t>
      </w:r>
      <w:r>
        <w:t xml:space="preserve">required </w:t>
      </w:r>
      <w:r w:rsidR="00E0215D">
        <w:t xml:space="preserve">return based on </w:t>
      </w:r>
      <w:r w:rsidR="009A0ACD">
        <w:t>CAPM</w:t>
      </w:r>
    </w:p>
    <w:p w:rsidR="00011A69" w:rsidRDefault="008D7F38" w:rsidP="00011A69">
      <w:pPr>
        <w:pStyle w:val="BodyText"/>
      </w:pPr>
      <w:r>
        <w:t>O</w:t>
      </w:r>
      <w:r w:rsidR="001064CB">
        <w:t xml:space="preserve">ur screen is the </w:t>
      </w:r>
      <w:r w:rsidR="00F016BE">
        <w:t>difference</w:t>
      </w:r>
      <w:r w:rsidR="001064CB">
        <w:t xml:space="preserve"> of the </w:t>
      </w:r>
      <w:r w:rsidR="005757B9">
        <w:t xml:space="preserve">implied </w:t>
      </w:r>
      <w:r w:rsidR="00A5169F">
        <w:t>return</w:t>
      </w:r>
      <w:r w:rsidR="00011A69">
        <w:t xml:space="preserve"> inferred using </w:t>
      </w:r>
      <w:r w:rsidR="00FA32D9">
        <w:t xml:space="preserve">the </w:t>
      </w:r>
      <w:r w:rsidR="00011A69">
        <w:t>OJ</w:t>
      </w:r>
      <w:r w:rsidR="00A56B83">
        <w:t xml:space="preserve"> </w:t>
      </w:r>
      <w:r w:rsidR="00FA32D9">
        <w:t xml:space="preserve">model </w:t>
      </w:r>
      <w:r w:rsidR="00A56B83">
        <w:t xml:space="preserve">and </w:t>
      </w:r>
      <w:r w:rsidR="00606015">
        <w:t xml:space="preserve">the </w:t>
      </w:r>
      <w:r w:rsidR="00A40E68">
        <w:t>required return</w:t>
      </w:r>
      <w:r w:rsidR="00A56B83">
        <w:t xml:space="preserve"> derived using CAPM.</w:t>
      </w:r>
      <w:r w:rsidR="001064CB">
        <w:t xml:space="preserve"> </w:t>
      </w:r>
      <w:r w:rsidR="00F43174" w:rsidRPr="00F43174">
        <w:t xml:space="preserve">There is a </w:t>
      </w:r>
      <w:r w:rsidR="00F43174">
        <w:t xml:space="preserve">50/50 </w:t>
      </w:r>
      <w:r w:rsidR="00F43174" w:rsidRPr="00F43174">
        <w:t>chance that any given firm has</w:t>
      </w:r>
      <w:r w:rsidR="00F43174">
        <w:t xml:space="preserve"> </w:t>
      </w:r>
      <w:r w:rsidR="008F617D">
        <w:t xml:space="preserve">positive/negative </w:t>
      </w:r>
      <w:r w:rsidR="00757B7B">
        <w:t>EIR</w:t>
      </w:r>
      <w:r w:rsidR="00F43174">
        <w:t xml:space="preserve">. </w:t>
      </w:r>
      <w:r w:rsidR="00F43174" w:rsidRPr="00F43174">
        <w:t xml:space="preserve">The spreadsheet highlights the extent of deviation from </w:t>
      </w:r>
      <w:r w:rsidR="00A0788C">
        <w:t>zero</w:t>
      </w:r>
      <w:r w:rsidR="00F43174" w:rsidRPr="00F43174">
        <w:t>.</w:t>
      </w:r>
      <w:r w:rsidR="00854393">
        <w:t xml:space="preserve"> </w:t>
      </w:r>
    </w:p>
    <w:p w:rsidR="00854393" w:rsidRDefault="00757B7B" w:rsidP="00A14563">
      <w:pPr>
        <w:pStyle w:val="Heading1"/>
      </w:pPr>
      <w:r>
        <w:t>EIR</w:t>
      </w:r>
      <w:r w:rsidR="00E45EB0">
        <w:t>: S</w:t>
      </w:r>
      <w:r w:rsidR="00AF3D06">
        <w:t>preadsheet implementation</w:t>
      </w:r>
    </w:p>
    <w:p w:rsidR="00AF3D06" w:rsidRPr="00AF3D06" w:rsidRDefault="00AF3D06" w:rsidP="00D85940">
      <w:pPr>
        <w:pStyle w:val="BodyText"/>
      </w:pPr>
      <w:r w:rsidRPr="00AF3D06">
        <w:t xml:space="preserve">The spreadsheet comprises </w:t>
      </w:r>
      <w:r w:rsidR="00FE0078">
        <w:t>five</w:t>
      </w:r>
      <w:r w:rsidRPr="00AF3D06">
        <w:t xml:space="preserve"> columns: one refers to market input and the subsequent </w:t>
      </w:r>
      <w:r w:rsidR="00FE0078">
        <w:t>four</w:t>
      </w:r>
      <w:r w:rsidRPr="00AF3D06">
        <w:t xml:space="preserve"> refer to individual firms.</w:t>
      </w:r>
      <w:r w:rsidR="00182452">
        <w:t xml:space="preserve"> </w:t>
      </w:r>
      <w:r w:rsidRPr="00AF3D06">
        <w:t xml:space="preserve">A graph plots a firm’s </w:t>
      </w:r>
      <w:r w:rsidR="005757B9">
        <w:t xml:space="preserve">implied </w:t>
      </w:r>
      <w:r w:rsidR="00A5169F">
        <w:t>return</w:t>
      </w:r>
      <w:r>
        <w:t xml:space="preserve"> (</w:t>
      </w:r>
      <w:r w:rsidR="00A5169F">
        <w:t>IR</w:t>
      </w:r>
      <w:r>
        <w:t>) on y-axis</w:t>
      </w:r>
      <w:r w:rsidRPr="00AF3D06">
        <w:t xml:space="preserve"> an</w:t>
      </w:r>
      <w:r>
        <w:t xml:space="preserve">d its CAPM </w:t>
      </w:r>
      <w:r w:rsidRPr="00E71AEE">
        <w:t>required</w:t>
      </w:r>
      <w:r w:rsidR="00EA4125">
        <w:t xml:space="preserve"> </w:t>
      </w:r>
      <w:r>
        <w:t>return on x</w:t>
      </w:r>
      <w:r w:rsidRPr="00AF3D06">
        <w:t xml:space="preserve">-axis. To </w:t>
      </w:r>
      <w:r>
        <w:t>make i</w:t>
      </w:r>
      <w:r w:rsidR="00F016BE">
        <w:t xml:space="preserve">t easy to see </w:t>
      </w:r>
      <w:r w:rsidR="00A90729">
        <w:t xml:space="preserve">how much </w:t>
      </w:r>
      <w:r w:rsidR="00A5169F">
        <w:t>IR</w:t>
      </w:r>
      <w:r w:rsidR="00A90729">
        <w:t xml:space="preserve"> differs from the CAPM required return</w:t>
      </w:r>
      <w:r>
        <w:t xml:space="preserve">, the graph includes a 45% line. </w:t>
      </w:r>
      <w:r w:rsidR="00757B7B">
        <w:t>EIR</w:t>
      </w:r>
      <w:r>
        <w:t xml:space="preserve"> </w:t>
      </w:r>
      <w:r w:rsidR="00443519">
        <w:t>is positive</w:t>
      </w:r>
      <w:r>
        <w:t xml:space="preserve"> above the line, and vice versa. S</w:t>
      </w:r>
      <w:r w:rsidRPr="00AF3D06">
        <w:t>ignificant deviations from the line are the most likely candidates for mispricing.</w:t>
      </w:r>
    </w:p>
    <w:p w:rsidR="00D85940" w:rsidRDefault="00D85940" w:rsidP="00EB2B1D">
      <w:r w:rsidRPr="00D85940">
        <w:t>The spreadsheet also provides additional screens using alternative measures of short</w:t>
      </w:r>
      <w:r w:rsidR="00CD74F6">
        <w:t>-</w:t>
      </w:r>
      <w:r w:rsidRPr="00D85940">
        <w:t>term growth in earnings and growth beyond the horizon. For comparison, it also computes the PEG ratio.</w:t>
      </w:r>
    </w:p>
    <w:p w:rsidR="00811F73" w:rsidRDefault="00E45EB0" w:rsidP="00BD35E4">
      <w:pPr>
        <w:pStyle w:val="Heading2"/>
      </w:pPr>
      <w:r>
        <w:t xml:space="preserve">Deriving </w:t>
      </w:r>
      <w:r w:rsidR="00A5169F">
        <w:t>IR</w:t>
      </w:r>
      <w:r>
        <w:t xml:space="preserve"> under t</w:t>
      </w:r>
      <w:r w:rsidR="00416E49">
        <w:t>hree alternate assumptions about long-term growth g</w:t>
      </w:r>
    </w:p>
    <w:p w:rsidR="00BE7D09" w:rsidRDefault="00BE7D09" w:rsidP="00BE7D09">
      <w:pPr>
        <w:pStyle w:val="BodyText"/>
      </w:pPr>
      <w:r>
        <w:t xml:space="preserve">This section develops the conceptual foundations of the previously stated </w:t>
      </w:r>
      <w:r w:rsidR="00A5169F">
        <w:t>IR</w:t>
      </w:r>
      <w:r>
        <w:t xml:space="preserve">. We also illustrate two additional </w:t>
      </w:r>
      <w:r w:rsidR="00A5169F">
        <w:t>IR</w:t>
      </w:r>
      <w:r>
        <w:t xml:space="preserve"> metrics that are simpler and thus help to assess the robustness of </w:t>
      </w:r>
      <w:r w:rsidR="00757B7B">
        <w:t>EIR</w:t>
      </w:r>
      <w:r>
        <w:t xml:space="preserve">. Before moving on, we note that the </w:t>
      </w:r>
      <w:r w:rsidR="00D9531F" w:rsidRPr="00471B88">
        <w:t>conceptual</w:t>
      </w:r>
      <w:r w:rsidR="00D9531F" w:rsidRPr="00D9531F">
        <w:rPr>
          <w:color w:val="FF0000"/>
        </w:rPr>
        <w:t xml:space="preserve"> </w:t>
      </w:r>
      <w:r>
        <w:t>issues are on the sophisticated side. This will not cause any real problems though: An understanding of the derivations is not essential to applying the spreadsheet.</w:t>
      </w:r>
    </w:p>
    <w:p w:rsidR="00811F73" w:rsidRDefault="00533357" w:rsidP="00BE7D09">
      <w:pPr>
        <w:pStyle w:val="BodyText"/>
      </w:pPr>
      <w:r w:rsidRPr="00533357">
        <w:t xml:space="preserve">The OJ model, as noted in VAL2, can be expressed </w:t>
      </w:r>
      <w:r w:rsidR="00FC4051">
        <w:t>as follows:</w:t>
      </w:r>
      <w:r w:rsidR="00563328" w:rsidRPr="00563328">
        <w:t xml:space="preserve"> </w:t>
      </w:r>
    </w:p>
    <w:tbl>
      <w:tblPr>
        <w:tblW w:w="0" w:type="auto"/>
        <w:tblInd w:w="115" w:type="dxa"/>
        <w:tblLook w:val="01E0" w:firstRow="1" w:lastRow="1" w:firstColumn="1" w:lastColumn="1" w:noHBand="0" w:noVBand="0"/>
      </w:tblPr>
      <w:tblGrid>
        <w:gridCol w:w="588"/>
        <w:gridCol w:w="876"/>
        <w:gridCol w:w="341"/>
        <w:gridCol w:w="1876"/>
        <w:gridCol w:w="341"/>
        <w:gridCol w:w="1876"/>
        <w:gridCol w:w="616"/>
      </w:tblGrid>
      <w:tr w:rsidR="00C2413B" w:rsidTr="003D2301">
        <w:trPr>
          <w:cantSplit/>
        </w:trPr>
        <w:tc>
          <w:tcPr>
            <w:tcW w:w="0" w:type="auto"/>
          </w:tcPr>
          <w:p w:rsidR="00C2413B" w:rsidRPr="00FE337A" w:rsidRDefault="00C2413B" w:rsidP="00AC433B">
            <w:pPr>
              <w:keepNext/>
              <w:jc w:val="center"/>
            </w:pPr>
            <w:r>
              <w:t>P</w:t>
            </w:r>
            <w:r w:rsidRPr="00FE337A">
              <w:rPr>
                <w:vertAlign w:val="subscript"/>
              </w:rPr>
              <w:t>0</w:t>
            </w:r>
            <w:r>
              <w:t xml:space="preserve"> =</w:t>
            </w:r>
          </w:p>
        </w:tc>
        <w:tc>
          <w:tcPr>
            <w:tcW w:w="0" w:type="auto"/>
            <w:tcBorders>
              <w:bottom w:val="single" w:sz="2" w:space="0" w:color="auto"/>
            </w:tcBorders>
          </w:tcPr>
          <w:p w:rsidR="00C2413B" w:rsidRDefault="00C2413B" w:rsidP="00AC433B">
            <w:pPr>
              <w:keepNext/>
              <w:jc w:val="center"/>
            </w:pPr>
            <w:r>
              <w:t>e</w:t>
            </w:r>
            <w:r w:rsidRPr="00F1650E">
              <w:rPr>
                <w:vertAlign w:val="subscript"/>
              </w:rPr>
              <w:t>1</w:t>
            </w:r>
          </w:p>
        </w:tc>
        <w:tc>
          <w:tcPr>
            <w:tcW w:w="0" w:type="auto"/>
          </w:tcPr>
          <w:p w:rsidR="00C2413B" w:rsidRDefault="00C2413B" w:rsidP="00AC433B">
            <w:pPr>
              <w:keepNext/>
              <w:jc w:val="center"/>
            </w:pPr>
            <w:r>
              <w:t>+</w:t>
            </w:r>
          </w:p>
        </w:tc>
        <w:tc>
          <w:tcPr>
            <w:tcW w:w="0" w:type="auto"/>
            <w:tcBorders>
              <w:bottom w:val="single" w:sz="2" w:space="0" w:color="auto"/>
            </w:tcBorders>
          </w:tcPr>
          <w:p w:rsidR="00C2413B" w:rsidRDefault="00C2413B" w:rsidP="00AC433B">
            <w:pPr>
              <w:keepNext/>
              <w:jc w:val="center"/>
            </w:pPr>
            <w:r>
              <w:t>e</w:t>
            </w:r>
            <w:r w:rsidRPr="00F1650E">
              <w:rPr>
                <w:vertAlign w:val="subscript"/>
              </w:rPr>
              <w:t>2</w:t>
            </w:r>
            <w:r>
              <w:rPr>
                <w:vertAlign w:val="subscript"/>
              </w:rPr>
              <w:t xml:space="preserve"> </w:t>
            </w:r>
            <w:r>
              <w:t>– e</w:t>
            </w:r>
            <w:r w:rsidRPr="00F1650E">
              <w:rPr>
                <w:vertAlign w:val="subscript"/>
              </w:rPr>
              <w:t>1</w:t>
            </w:r>
            <w:r>
              <w:t xml:space="preserve"> – r</w:t>
            </w:r>
            <w:r w:rsidRPr="00FE337A">
              <w:rPr>
                <w:vertAlign w:val="subscript"/>
              </w:rPr>
              <w:t>e</w:t>
            </w:r>
            <w:r>
              <w:t xml:space="preserve"> (e</w:t>
            </w:r>
            <w:r w:rsidRPr="00F1650E">
              <w:rPr>
                <w:vertAlign w:val="subscript"/>
              </w:rPr>
              <w:t>1</w:t>
            </w:r>
            <w:r>
              <w:t xml:space="preserve"> – d</w:t>
            </w:r>
            <w:r w:rsidRPr="00F1650E">
              <w:rPr>
                <w:vertAlign w:val="subscript"/>
              </w:rPr>
              <w:t>1</w:t>
            </w:r>
            <w:r>
              <w:t>)</w:t>
            </w:r>
          </w:p>
        </w:tc>
        <w:tc>
          <w:tcPr>
            <w:tcW w:w="0" w:type="auto"/>
          </w:tcPr>
          <w:p w:rsidR="00C2413B" w:rsidRDefault="00C2413B" w:rsidP="00AC433B">
            <w:pPr>
              <w:keepNext/>
              <w:jc w:val="center"/>
            </w:pPr>
            <w:r>
              <w:t>+</w:t>
            </w:r>
          </w:p>
        </w:tc>
        <w:tc>
          <w:tcPr>
            <w:tcW w:w="0" w:type="auto"/>
            <w:tcBorders>
              <w:bottom w:val="single" w:sz="2" w:space="0" w:color="auto"/>
            </w:tcBorders>
          </w:tcPr>
          <w:p w:rsidR="00C2413B" w:rsidRDefault="00C2413B" w:rsidP="00AC433B">
            <w:pPr>
              <w:keepNext/>
              <w:jc w:val="center"/>
            </w:pPr>
            <w:r>
              <w:t>e</w:t>
            </w:r>
            <w:r>
              <w:rPr>
                <w:vertAlign w:val="subscript"/>
              </w:rPr>
              <w:t xml:space="preserve">3 </w:t>
            </w:r>
            <w:r>
              <w:t>– e</w:t>
            </w:r>
            <w:r w:rsidRPr="00F1650E">
              <w:rPr>
                <w:vertAlign w:val="subscript"/>
              </w:rPr>
              <w:t>2</w:t>
            </w:r>
            <w:r>
              <w:t xml:space="preserve"> – r</w:t>
            </w:r>
            <w:r w:rsidRPr="00FE337A">
              <w:rPr>
                <w:vertAlign w:val="subscript"/>
              </w:rPr>
              <w:t>e</w:t>
            </w:r>
            <w:r>
              <w:t xml:space="preserve"> (e</w:t>
            </w:r>
            <w:r w:rsidRPr="00F1650E">
              <w:rPr>
                <w:vertAlign w:val="subscript"/>
              </w:rPr>
              <w:t>2</w:t>
            </w:r>
            <w:r>
              <w:t xml:space="preserve"> – d</w:t>
            </w:r>
            <w:r>
              <w:rPr>
                <w:vertAlign w:val="subscript"/>
              </w:rPr>
              <w:t>2</w:t>
            </w:r>
            <w:r>
              <w:t>)</w:t>
            </w:r>
          </w:p>
        </w:tc>
        <w:tc>
          <w:tcPr>
            <w:tcW w:w="0" w:type="auto"/>
            <w:tcBorders>
              <w:bottom w:val="single" w:sz="2" w:space="0" w:color="FFFFFF"/>
            </w:tcBorders>
          </w:tcPr>
          <w:p w:rsidR="00C2413B" w:rsidRDefault="00C2413B" w:rsidP="00AC433B">
            <w:pPr>
              <w:keepNext/>
              <w:jc w:val="center"/>
            </w:pPr>
            <w:r>
              <w:t>+ …</w:t>
            </w:r>
          </w:p>
        </w:tc>
      </w:tr>
      <w:tr w:rsidR="00C2413B" w:rsidTr="003D2301">
        <w:trPr>
          <w:cantSplit/>
        </w:trPr>
        <w:tc>
          <w:tcPr>
            <w:tcW w:w="0" w:type="auto"/>
          </w:tcPr>
          <w:p w:rsidR="00C2413B" w:rsidRDefault="00C2413B" w:rsidP="00AC433B">
            <w:pPr>
              <w:keepNext/>
              <w:jc w:val="center"/>
            </w:pPr>
          </w:p>
        </w:tc>
        <w:tc>
          <w:tcPr>
            <w:tcW w:w="0" w:type="auto"/>
            <w:tcBorders>
              <w:top w:val="single" w:sz="2" w:space="0" w:color="auto"/>
            </w:tcBorders>
          </w:tcPr>
          <w:p w:rsidR="00C2413B" w:rsidRDefault="00C2413B" w:rsidP="00AC433B">
            <w:pPr>
              <w:keepNext/>
              <w:jc w:val="center"/>
            </w:pPr>
            <w:r>
              <w:t>r</w:t>
            </w:r>
            <w:r w:rsidRPr="00FE337A">
              <w:rPr>
                <w:vertAlign w:val="subscript"/>
              </w:rPr>
              <w:t>e</w:t>
            </w:r>
          </w:p>
        </w:tc>
        <w:tc>
          <w:tcPr>
            <w:tcW w:w="0" w:type="auto"/>
          </w:tcPr>
          <w:p w:rsidR="00C2413B" w:rsidRDefault="00C2413B" w:rsidP="00AC433B">
            <w:pPr>
              <w:keepNext/>
              <w:jc w:val="center"/>
            </w:pPr>
          </w:p>
        </w:tc>
        <w:tc>
          <w:tcPr>
            <w:tcW w:w="0" w:type="auto"/>
            <w:tcBorders>
              <w:top w:val="single" w:sz="2" w:space="0" w:color="auto"/>
            </w:tcBorders>
          </w:tcPr>
          <w:p w:rsidR="00C2413B" w:rsidRDefault="00C2413B" w:rsidP="00AC433B">
            <w:pPr>
              <w:keepNext/>
              <w:jc w:val="center"/>
            </w:pPr>
            <w:r>
              <w:t>r</w:t>
            </w:r>
            <w:r w:rsidRPr="00FE337A">
              <w:rPr>
                <w:vertAlign w:val="subscript"/>
              </w:rPr>
              <w:t>e</w:t>
            </w:r>
            <w:r>
              <w:t xml:space="preserve"> (1+ r</w:t>
            </w:r>
            <w:r w:rsidRPr="00FE337A">
              <w:rPr>
                <w:vertAlign w:val="subscript"/>
              </w:rPr>
              <w:t>e</w:t>
            </w:r>
            <w:r>
              <w:t>)</w:t>
            </w:r>
          </w:p>
        </w:tc>
        <w:tc>
          <w:tcPr>
            <w:tcW w:w="0" w:type="auto"/>
          </w:tcPr>
          <w:p w:rsidR="00C2413B" w:rsidRDefault="00C2413B" w:rsidP="00AC433B">
            <w:pPr>
              <w:keepNext/>
              <w:jc w:val="center"/>
            </w:pPr>
          </w:p>
        </w:tc>
        <w:tc>
          <w:tcPr>
            <w:tcW w:w="0" w:type="auto"/>
            <w:tcBorders>
              <w:top w:val="single" w:sz="2" w:space="0" w:color="auto"/>
            </w:tcBorders>
          </w:tcPr>
          <w:p w:rsidR="00C2413B" w:rsidRDefault="00C2413B" w:rsidP="00AC433B">
            <w:pPr>
              <w:keepNext/>
              <w:jc w:val="center"/>
            </w:pPr>
            <w:r>
              <w:t>r</w:t>
            </w:r>
            <w:r w:rsidRPr="00FE337A">
              <w:rPr>
                <w:vertAlign w:val="subscript"/>
              </w:rPr>
              <w:t>e</w:t>
            </w:r>
            <w:r>
              <w:t xml:space="preserve"> (1+ r</w:t>
            </w:r>
            <w:r w:rsidRPr="00FE337A">
              <w:rPr>
                <w:vertAlign w:val="subscript"/>
              </w:rPr>
              <w:t>e</w:t>
            </w:r>
            <w:r>
              <w:t>)</w:t>
            </w:r>
            <w:r w:rsidRPr="00AB0B1C">
              <w:rPr>
                <w:vertAlign w:val="superscript"/>
              </w:rPr>
              <w:t>2</w:t>
            </w:r>
          </w:p>
        </w:tc>
        <w:tc>
          <w:tcPr>
            <w:tcW w:w="0" w:type="auto"/>
            <w:tcBorders>
              <w:top w:val="single" w:sz="2" w:space="0" w:color="FFFFFF"/>
            </w:tcBorders>
          </w:tcPr>
          <w:p w:rsidR="00C2413B" w:rsidRDefault="00C2413B" w:rsidP="00AC433B">
            <w:pPr>
              <w:keepNext/>
              <w:jc w:val="center"/>
            </w:pPr>
          </w:p>
        </w:tc>
      </w:tr>
      <w:tr w:rsidR="00C2413B" w:rsidTr="00757CDB">
        <w:trPr>
          <w:cantSplit/>
        </w:trPr>
        <w:tc>
          <w:tcPr>
            <w:tcW w:w="0" w:type="auto"/>
          </w:tcPr>
          <w:p w:rsidR="00C2413B" w:rsidRDefault="00C2413B" w:rsidP="00AC433B">
            <w:pPr>
              <w:jc w:val="center"/>
            </w:pPr>
          </w:p>
        </w:tc>
        <w:tc>
          <w:tcPr>
            <w:tcW w:w="0" w:type="auto"/>
          </w:tcPr>
          <w:p w:rsidR="00C2413B" w:rsidRDefault="00C2413B" w:rsidP="00AC433B">
            <w:pPr>
              <w:jc w:val="center"/>
            </w:pPr>
            <w:r>
              <w:t>Anchor</w:t>
            </w:r>
          </w:p>
        </w:tc>
        <w:tc>
          <w:tcPr>
            <w:tcW w:w="0" w:type="auto"/>
          </w:tcPr>
          <w:p w:rsidR="00C2413B" w:rsidRDefault="00C2413B" w:rsidP="00AC433B">
            <w:pPr>
              <w:jc w:val="center"/>
            </w:pPr>
          </w:p>
        </w:tc>
        <w:tc>
          <w:tcPr>
            <w:tcW w:w="0" w:type="auto"/>
          </w:tcPr>
          <w:p w:rsidR="00C2413B" w:rsidRDefault="00C2413B" w:rsidP="00AC433B">
            <w:pPr>
              <w:jc w:val="center"/>
            </w:pPr>
            <w:r>
              <w:t>Until horizon</w:t>
            </w:r>
          </w:p>
        </w:tc>
        <w:tc>
          <w:tcPr>
            <w:tcW w:w="0" w:type="auto"/>
          </w:tcPr>
          <w:p w:rsidR="00C2413B" w:rsidRDefault="00C2413B" w:rsidP="00AC433B">
            <w:pPr>
              <w:jc w:val="center"/>
            </w:pPr>
          </w:p>
        </w:tc>
        <w:tc>
          <w:tcPr>
            <w:tcW w:w="0" w:type="auto"/>
          </w:tcPr>
          <w:p w:rsidR="00C2413B" w:rsidRDefault="00C2413B" w:rsidP="00AC433B">
            <w:pPr>
              <w:jc w:val="center"/>
            </w:pPr>
            <w:r>
              <w:t>Beyond horizon</w:t>
            </w:r>
          </w:p>
        </w:tc>
        <w:tc>
          <w:tcPr>
            <w:tcW w:w="0" w:type="auto"/>
          </w:tcPr>
          <w:p w:rsidR="00C2413B" w:rsidRDefault="00C2413B" w:rsidP="00AC433B">
            <w:pPr>
              <w:jc w:val="center"/>
            </w:pPr>
          </w:p>
        </w:tc>
      </w:tr>
    </w:tbl>
    <w:p w:rsidR="00811F73" w:rsidRDefault="00811F73" w:rsidP="00811F73"/>
    <w:p w:rsidR="00563328" w:rsidRDefault="00563328" w:rsidP="00563328">
      <w:pPr>
        <w:pStyle w:val="BodyText"/>
      </w:pPr>
      <w:r>
        <w:t>The model equates equity value to capitalized forthcoming earnings (e</w:t>
      </w:r>
      <w:r w:rsidRPr="00BD5187">
        <w:rPr>
          <w:vertAlign w:val="subscript"/>
        </w:rPr>
        <w:t>1</w:t>
      </w:r>
      <w:r>
        <w:t>/r</w:t>
      </w:r>
      <w:r w:rsidRPr="00BD5187">
        <w:rPr>
          <w:vertAlign w:val="subscript"/>
        </w:rPr>
        <w:t>e</w:t>
      </w:r>
      <w:r>
        <w:t>) plus the present value of capitalized residual changes in earnings.</w:t>
      </w:r>
      <w:r w:rsidR="00182452">
        <w:t xml:space="preserve"> </w:t>
      </w:r>
      <w:r>
        <w:t xml:space="preserve">The residual change in earnings </w:t>
      </w:r>
      <w:r w:rsidR="003D2301">
        <w:t xml:space="preserve">in year 2 </w:t>
      </w:r>
      <w:r>
        <w:t xml:space="preserve">equals </w:t>
      </w:r>
      <w:r w:rsidR="003D2301">
        <w:t>(e</w:t>
      </w:r>
      <w:r w:rsidR="003D2301" w:rsidRPr="00F1650E">
        <w:rPr>
          <w:vertAlign w:val="subscript"/>
        </w:rPr>
        <w:t>2</w:t>
      </w:r>
      <w:r w:rsidR="003D2301">
        <w:rPr>
          <w:vertAlign w:val="subscript"/>
        </w:rPr>
        <w:t xml:space="preserve"> </w:t>
      </w:r>
      <w:r w:rsidR="003D2301">
        <w:t>– e</w:t>
      </w:r>
      <w:r w:rsidR="003D2301" w:rsidRPr="00F1650E">
        <w:rPr>
          <w:vertAlign w:val="subscript"/>
        </w:rPr>
        <w:t>1</w:t>
      </w:r>
      <w:r w:rsidR="003D2301">
        <w:t xml:space="preserve"> – r</w:t>
      </w:r>
      <w:r w:rsidR="003D2301" w:rsidRPr="00FE337A">
        <w:rPr>
          <w:vertAlign w:val="subscript"/>
        </w:rPr>
        <w:t>e</w:t>
      </w:r>
      <w:r w:rsidR="003D2301">
        <w:t xml:space="preserve"> (e</w:t>
      </w:r>
      <w:r w:rsidR="003D2301" w:rsidRPr="00F1650E">
        <w:rPr>
          <w:vertAlign w:val="subscript"/>
        </w:rPr>
        <w:t>1</w:t>
      </w:r>
      <w:r w:rsidR="003D2301">
        <w:t xml:space="preserve"> – d</w:t>
      </w:r>
      <w:r w:rsidR="003D2301" w:rsidRPr="00F1650E">
        <w:rPr>
          <w:vertAlign w:val="subscript"/>
        </w:rPr>
        <w:t>1</w:t>
      </w:r>
      <w:r w:rsidR="003D2301">
        <w:t xml:space="preserve">)), which is </w:t>
      </w:r>
      <w:r>
        <w:t>the change in earnings (e</w:t>
      </w:r>
      <w:r w:rsidRPr="00F1650E">
        <w:rPr>
          <w:vertAlign w:val="subscript"/>
        </w:rPr>
        <w:t>2</w:t>
      </w:r>
      <w:r w:rsidR="003D2301">
        <w:t xml:space="preserve"> –</w:t>
      </w:r>
      <w:r>
        <w:t xml:space="preserve"> e</w:t>
      </w:r>
      <w:r w:rsidRPr="00F1650E">
        <w:rPr>
          <w:vertAlign w:val="subscript"/>
        </w:rPr>
        <w:t>1</w:t>
      </w:r>
      <w:r>
        <w:t>) minus the change in earnings expected if the reinvestment (e</w:t>
      </w:r>
      <w:r w:rsidRPr="00F1650E">
        <w:rPr>
          <w:vertAlign w:val="subscript"/>
        </w:rPr>
        <w:t>1</w:t>
      </w:r>
      <w:r>
        <w:t xml:space="preserve"> – d</w:t>
      </w:r>
      <w:r w:rsidRPr="00F1650E">
        <w:rPr>
          <w:vertAlign w:val="subscript"/>
        </w:rPr>
        <w:t>1</w:t>
      </w:r>
      <w:r>
        <w:t xml:space="preserve">) yielded returns at </w:t>
      </w:r>
      <w:r w:rsidR="001D77F3">
        <w:t>r</w:t>
      </w:r>
      <w:r w:rsidR="001D77F3" w:rsidRPr="001D77F3">
        <w:rPr>
          <w:vertAlign w:val="subscript"/>
        </w:rPr>
        <w:t>e</w:t>
      </w:r>
      <w:r>
        <w:t>.</w:t>
      </w:r>
      <w:r w:rsidR="003D2301">
        <w:t xml:space="preserve"> The residual change in earnings is capitalized by dividing it by r</w:t>
      </w:r>
      <w:r w:rsidR="003D2301" w:rsidRPr="003D2301">
        <w:rPr>
          <w:vertAlign w:val="subscript"/>
        </w:rPr>
        <w:t>e</w:t>
      </w:r>
      <w:r w:rsidR="003D2301">
        <w:t>.</w:t>
      </w:r>
    </w:p>
    <w:p w:rsidR="00811F73" w:rsidRPr="00025A22" w:rsidRDefault="00811F73" w:rsidP="00811F73">
      <w:pPr>
        <w:rPr>
          <w:u w:val="single"/>
        </w:rPr>
      </w:pPr>
      <w:r>
        <w:t xml:space="preserve">If one assumes </w:t>
      </w:r>
      <w:r w:rsidRPr="000C7491">
        <w:t xml:space="preserve">that the </w:t>
      </w:r>
      <w:r w:rsidR="00CA5E22" w:rsidRPr="000C7491">
        <w:t>horizon growth rate g</w:t>
      </w:r>
      <w:r w:rsidR="00CA5E22">
        <w:t xml:space="preserve"> </w:t>
      </w:r>
      <w:r w:rsidR="00D9531F" w:rsidRPr="000C7491">
        <w:t xml:space="preserve">starts a year earlier, that is, </w:t>
      </w:r>
      <w:r w:rsidR="00BA715D" w:rsidRPr="000C7491">
        <w:t>fr</w:t>
      </w:r>
      <w:r w:rsidR="00BA715D">
        <w:t>om year 3 onwards</w:t>
      </w:r>
      <w:r>
        <w:t>, then the formula above simplifies to the following:</w:t>
      </w:r>
      <w:r w:rsidR="0025459B">
        <w:t xml:space="preserve"> [You can view the “Simulation” </w:t>
      </w:r>
      <w:r w:rsidR="00E45EB0">
        <w:t>tab</w:t>
      </w:r>
      <w:r w:rsidR="0025459B">
        <w:t xml:space="preserve"> of the VAL4 spreadsheet for a simulation of this earnings pattern.]</w:t>
      </w:r>
    </w:p>
    <w:p w:rsidR="00811F73" w:rsidRDefault="00811F73" w:rsidP="00811F73"/>
    <w:tbl>
      <w:tblPr>
        <w:tblW w:w="0" w:type="auto"/>
        <w:tblInd w:w="115" w:type="dxa"/>
        <w:tblLook w:val="01E0" w:firstRow="1" w:lastRow="1" w:firstColumn="1" w:lastColumn="1" w:noHBand="0" w:noVBand="0"/>
      </w:tblPr>
      <w:tblGrid>
        <w:gridCol w:w="588"/>
        <w:gridCol w:w="384"/>
        <w:gridCol w:w="341"/>
        <w:gridCol w:w="1876"/>
      </w:tblGrid>
      <w:tr w:rsidR="00811F73" w:rsidTr="008813EB">
        <w:trPr>
          <w:cantSplit/>
        </w:trPr>
        <w:tc>
          <w:tcPr>
            <w:tcW w:w="0" w:type="auto"/>
          </w:tcPr>
          <w:p w:rsidR="00811F73" w:rsidRPr="00FE337A" w:rsidRDefault="00811F73" w:rsidP="00AC433B">
            <w:pPr>
              <w:keepNext/>
              <w:jc w:val="center"/>
            </w:pPr>
            <w:r>
              <w:t>P</w:t>
            </w:r>
            <w:r w:rsidRPr="00FE337A">
              <w:rPr>
                <w:vertAlign w:val="subscript"/>
              </w:rPr>
              <w:t>0</w:t>
            </w:r>
            <w:r>
              <w:t xml:space="preserve"> =</w:t>
            </w:r>
          </w:p>
        </w:tc>
        <w:tc>
          <w:tcPr>
            <w:tcW w:w="0" w:type="auto"/>
            <w:tcBorders>
              <w:bottom w:val="single" w:sz="2" w:space="0" w:color="auto"/>
            </w:tcBorders>
          </w:tcPr>
          <w:p w:rsidR="00811F73" w:rsidRDefault="00037A14" w:rsidP="00AC433B">
            <w:pPr>
              <w:keepNext/>
              <w:jc w:val="center"/>
            </w:pPr>
            <w:r>
              <w:t>e</w:t>
            </w:r>
            <w:r w:rsidR="00811F73" w:rsidRPr="00F1650E">
              <w:rPr>
                <w:vertAlign w:val="subscript"/>
              </w:rPr>
              <w:t>1</w:t>
            </w:r>
          </w:p>
        </w:tc>
        <w:tc>
          <w:tcPr>
            <w:tcW w:w="0" w:type="auto"/>
          </w:tcPr>
          <w:p w:rsidR="00811F73" w:rsidRDefault="00811F73" w:rsidP="00AC433B">
            <w:pPr>
              <w:keepNext/>
              <w:jc w:val="center"/>
            </w:pPr>
            <w:r>
              <w:t>+</w:t>
            </w:r>
          </w:p>
        </w:tc>
        <w:tc>
          <w:tcPr>
            <w:tcW w:w="0" w:type="auto"/>
            <w:tcBorders>
              <w:bottom w:val="single" w:sz="2" w:space="0" w:color="auto"/>
            </w:tcBorders>
          </w:tcPr>
          <w:p w:rsidR="00811F73" w:rsidRDefault="00811F73" w:rsidP="00AC433B">
            <w:pPr>
              <w:keepNext/>
              <w:jc w:val="center"/>
            </w:pPr>
            <w:r>
              <w:t>e</w:t>
            </w:r>
            <w:r w:rsidRPr="00F1650E">
              <w:rPr>
                <w:vertAlign w:val="subscript"/>
              </w:rPr>
              <w:t>2</w:t>
            </w:r>
            <w:r w:rsidR="00F14924">
              <w:rPr>
                <w:vertAlign w:val="subscript"/>
              </w:rPr>
              <w:t xml:space="preserve"> </w:t>
            </w:r>
            <w:r w:rsidR="00F14924">
              <w:t xml:space="preserve">– </w:t>
            </w:r>
            <w:r>
              <w:t>e</w:t>
            </w:r>
            <w:r w:rsidRPr="00F1650E">
              <w:rPr>
                <w:vertAlign w:val="subscript"/>
              </w:rPr>
              <w:t>1</w:t>
            </w:r>
            <w:r>
              <w:t xml:space="preserve"> – r</w:t>
            </w:r>
            <w:r w:rsidRPr="00FE337A">
              <w:rPr>
                <w:vertAlign w:val="subscript"/>
              </w:rPr>
              <w:t>e</w:t>
            </w:r>
            <w:r>
              <w:t xml:space="preserve"> (e</w:t>
            </w:r>
            <w:r w:rsidRPr="00F1650E">
              <w:rPr>
                <w:vertAlign w:val="subscript"/>
              </w:rPr>
              <w:t>1</w:t>
            </w:r>
            <w:r>
              <w:t xml:space="preserve"> – d</w:t>
            </w:r>
            <w:r w:rsidRPr="00F1650E">
              <w:rPr>
                <w:vertAlign w:val="subscript"/>
              </w:rPr>
              <w:t>1</w:t>
            </w:r>
            <w:r>
              <w:t>)</w:t>
            </w:r>
          </w:p>
        </w:tc>
      </w:tr>
      <w:tr w:rsidR="00811F73" w:rsidTr="008813EB">
        <w:trPr>
          <w:cantSplit/>
        </w:trPr>
        <w:tc>
          <w:tcPr>
            <w:tcW w:w="0" w:type="auto"/>
          </w:tcPr>
          <w:p w:rsidR="00811F73" w:rsidRDefault="00811F73" w:rsidP="00AC433B">
            <w:pPr>
              <w:jc w:val="center"/>
            </w:pPr>
          </w:p>
        </w:tc>
        <w:tc>
          <w:tcPr>
            <w:tcW w:w="0" w:type="auto"/>
            <w:tcBorders>
              <w:top w:val="single" w:sz="2" w:space="0" w:color="auto"/>
            </w:tcBorders>
          </w:tcPr>
          <w:p w:rsidR="00811F73" w:rsidRDefault="00811F73" w:rsidP="00AC433B">
            <w:pPr>
              <w:jc w:val="center"/>
            </w:pPr>
            <w:r>
              <w:t>r</w:t>
            </w:r>
            <w:r w:rsidRPr="00FE337A">
              <w:rPr>
                <w:vertAlign w:val="subscript"/>
              </w:rPr>
              <w:t>e</w:t>
            </w:r>
          </w:p>
        </w:tc>
        <w:tc>
          <w:tcPr>
            <w:tcW w:w="0" w:type="auto"/>
          </w:tcPr>
          <w:p w:rsidR="00811F73" w:rsidRDefault="00811F73" w:rsidP="00AC433B">
            <w:pPr>
              <w:jc w:val="center"/>
            </w:pPr>
          </w:p>
        </w:tc>
        <w:tc>
          <w:tcPr>
            <w:tcW w:w="0" w:type="auto"/>
            <w:tcBorders>
              <w:top w:val="single" w:sz="2" w:space="0" w:color="auto"/>
            </w:tcBorders>
          </w:tcPr>
          <w:p w:rsidR="00811F73" w:rsidRDefault="00811F73" w:rsidP="00AC433B">
            <w:pPr>
              <w:jc w:val="center"/>
            </w:pPr>
            <w:r>
              <w:t>r</w:t>
            </w:r>
            <w:r w:rsidRPr="00FE337A">
              <w:rPr>
                <w:vertAlign w:val="subscript"/>
              </w:rPr>
              <w:t>e</w:t>
            </w:r>
            <w:r>
              <w:t xml:space="preserve"> (r</w:t>
            </w:r>
            <w:r w:rsidRPr="00FE337A">
              <w:rPr>
                <w:vertAlign w:val="subscript"/>
              </w:rPr>
              <w:t>e</w:t>
            </w:r>
            <w:r>
              <w:t xml:space="preserve"> </w:t>
            </w:r>
            <w:r w:rsidR="00F14924">
              <w:t xml:space="preserve">– </w:t>
            </w:r>
            <w:r>
              <w:t>g)</w:t>
            </w:r>
          </w:p>
        </w:tc>
      </w:tr>
    </w:tbl>
    <w:p w:rsidR="00811F73" w:rsidRDefault="00811F73" w:rsidP="00811F73"/>
    <w:p w:rsidR="008C05B8" w:rsidRDefault="009626BA" w:rsidP="008C05B8">
      <w:r>
        <w:t>O</w:t>
      </w:r>
      <w:r w:rsidR="008C05B8">
        <w:t xml:space="preserve">ne can </w:t>
      </w:r>
      <w:r>
        <w:t xml:space="preserve">now </w:t>
      </w:r>
      <w:r w:rsidR="008C05B8">
        <w:t>infer r</w:t>
      </w:r>
      <w:r w:rsidR="008C05B8" w:rsidRPr="00D45CB7">
        <w:rPr>
          <w:vertAlign w:val="subscript"/>
        </w:rPr>
        <w:t>e</w:t>
      </w:r>
      <w:r w:rsidR="008C05B8">
        <w:t xml:space="preserve"> as follows:</w:t>
      </w:r>
    </w:p>
    <w:tbl>
      <w:tblPr>
        <w:tblW w:w="4003" w:type="dxa"/>
        <w:tblInd w:w="115" w:type="dxa"/>
        <w:tblCellMar>
          <w:left w:w="0" w:type="dxa"/>
          <w:right w:w="0" w:type="dxa"/>
        </w:tblCellMar>
        <w:tblLook w:val="01E0" w:firstRow="1" w:lastRow="1" w:firstColumn="1" w:lastColumn="1" w:noHBand="0" w:noVBand="0"/>
      </w:tblPr>
      <w:tblGrid>
        <w:gridCol w:w="433"/>
        <w:gridCol w:w="244"/>
        <w:gridCol w:w="191"/>
        <w:gridCol w:w="669"/>
        <w:gridCol w:w="113"/>
        <w:gridCol w:w="365"/>
        <w:gridCol w:w="191"/>
        <w:gridCol w:w="296"/>
        <w:gridCol w:w="169"/>
        <w:gridCol w:w="113"/>
        <w:gridCol w:w="711"/>
        <w:gridCol w:w="113"/>
        <w:gridCol w:w="282"/>
        <w:gridCol w:w="113"/>
      </w:tblGrid>
      <w:tr w:rsidR="008C05B8" w:rsidTr="00CC3304">
        <w:trPr>
          <w:cantSplit/>
          <w:trHeight w:val="305"/>
        </w:trPr>
        <w:tc>
          <w:tcPr>
            <w:tcW w:w="432" w:type="dxa"/>
            <w:vMerge w:val="restart"/>
            <w:vAlign w:val="center"/>
          </w:tcPr>
          <w:p w:rsidR="008C05B8" w:rsidRPr="00FE337A" w:rsidRDefault="008C05B8" w:rsidP="00CC3304">
            <w:pPr>
              <w:keepNext/>
              <w:jc w:val="center"/>
            </w:pPr>
            <w:r>
              <w:t>r</w:t>
            </w:r>
            <w:r>
              <w:rPr>
                <w:vertAlign w:val="subscript"/>
              </w:rPr>
              <w:t>e</w:t>
            </w:r>
            <w:r>
              <w:t xml:space="preserve"> =</w:t>
            </w:r>
          </w:p>
        </w:tc>
        <w:tc>
          <w:tcPr>
            <w:tcW w:w="0" w:type="auto"/>
            <w:vMerge w:val="restart"/>
            <w:vAlign w:val="center"/>
          </w:tcPr>
          <w:p w:rsidR="008C05B8" w:rsidRDefault="008C05B8" w:rsidP="00CC3304">
            <w:pPr>
              <w:keepNext/>
              <w:jc w:val="center"/>
            </w:pPr>
            <w:r>
              <w:t>A</w:t>
            </w:r>
          </w:p>
        </w:tc>
        <w:tc>
          <w:tcPr>
            <w:tcW w:w="0" w:type="auto"/>
            <w:vMerge w:val="restart"/>
            <w:vAlign w:val="center"/>
          </w:tcPr>
          <w:p w:rsidR="008C05B8" w:rsidRDefault="008C05B8" w:rsidP="00CC3304">
            <w:pPr>
              <w:keepNext/>
              <w:jc w:val="center"/>
            </w:pPr>
            <w:r>
              <w:t>+</w:t>
            </w:r>
          </w:p>
        </w:tc>
        <w:tc>
          <w:tcPr>
            <w:tcW w:w="669" w:type="dxa"/>
            <w:vMerge w:val="restart"/>
            <w:vAlign w:val="center"/>
          </w:tcPr>
          <w:p w:rsidR="008C05B8" w:rsidRDefault="008C05B8" w:rsidP="00CC3304">
            <w:pPr>
              <w:keepNext/>
              <w:jc w:val="center"/>
            </w:pPr>
            <w:r>
              <w:t>SQRT</w:t>
            </w:r>
          </w:p>
        </w:tc>
        <w:tc>
          <w:tcPr>
            <w:tcW w:w="0" w:type="auto"/>
            <w:vMerge w:val="restart"/>
            <w:vAlign w:val="center"/>
          </w:tcPr>
          <w:p w:rsidR="008C05B8" w:rsidRPr="00FE65C6" w:rsidRDefault="008C05B8" w:rsidP="00CC3304">
            <w:pPr>
              <w:keepNext/>
              <w:jc w:val="center"/>
            </w:pPr>
            <w:r>
              <w:t>(</w:t>
            </w:r>
          </w:p>
        </w:tc>
        <w:tc>
          <w:tcPr>
            <w:tcW w:w="365" w:type="dxa"/>
            <w:vMerge w:val="restart"/>
            <w:vAlign w:val="center"/>
          </w:tcPr>
          <w:p w:rsidR="008C05B8" w:rsidRPr="00AA14F3" w:rsidRDefault="008C05B8" w:rsidP="00CC3304">
            <w:pPr>
              <w:keepNext/>
              <w:jc w:val="center"/>
            </w:pPr>
            <w:r>
              <w:t>A</w:t>
            </w:r>
            <w:r>
              <w:rPr>
                <w:vertAlign w:val="superscript"/>
              </w:rPr>
              <w:t>2</w:t>
            </w:r>
          </w:p>
        </w:tc>
        <w:tc>
          <w:tcPr>
            <w:tcW w:w="0" w:type="auto"/>
            <w:vMerge w:val="restart"/>
            <w:vAlign w:val="center"/>
          </w:tcPr>
          <w:p w:rsidR="008C05B8" w:rsidRDefault="008C05B8" w:rsidP="00CC3304">
            <w:pPr>
              <w:keepNext/>
              <w:jc w:val="center"/>
            </w:pPr>
            <w:r>
              <w:t>+</w:t>
            </w:r>
          </w:p>
        </w:tc>
        <w:tc>
          <w:tcPr>
            <w:tcW w:w="0" w:type="auto"/>
            <w:tcBorders>
              <w:bottom w:val="single" w:sz="2" w:space="0" w:color="auto"/>
            </w:tcBorders>
            <w:vAlign w:val="center"/>
          </w:tcPr>
          <w:p w:rsidR="008C05B8" w:rsidRDefault="000A7E6D" w:rsidP="00CC3304">
            <w:pPr>
              <w:keepNext/>
              <w:jc w:val="center"/>
            </w:pPr>
            <w:r>
              <w:t>e</w:t>
            </w:r>
            <w:r w:rsidR="008C05B8" w:rsidRPr="00F1650E">
              <w:rPr>
                <w:vertAlign w:val="subscript"/>
              </w:rPr>
              <w:t>1</w:t>
            </w:r>
          </w:p>
        </w:tc>
        <w:tc>
          <w:tcPr>
            <w:tcW w:w="0" w:type="auto"/>
            <w:vMerge w:val="restart"/>
            <w:vAlign w:val="center"/>
          </w:tcPr>
          <w:p w:rsidR="008C05B8" w:rsidRDefault="008C05B8" w:rsidP="00CC3304">
            <w:pPr>
              <w:keepNext/>
              <w:jc w:val="center"/>
            </w:pPr>
            <w:r>
              <w:t>*</w:t>
            </w:r>
          </w:p>
        </w:tc>
        <w:tc>
          <w:tcPr>
            <w:tcW w:w="0" w:type="auto"/>
            <w:vMerge w:val="restart"/>
            <w:vAlign w:val="center"/>
          </w:tcPr>
          <w:p w:rsidR="008C05B8" w:rsidRDefault="008C05B8" w:rsidP="00CC3304">
            <w:pPr>
              <w:keepNext/>
              <w:jc w:val="center"/>
            </w:pPr>
            <w:r>
              <w:t>(</w:t>
            </w:r>
          </w:p>
        </w:tc>
        <w:tc>
          <w:tcPr>
            <w:tcW w:w="711" w:type="dxa"/>
            <w:tcBorders>
              <w:bottom w:val="single" w:sz="2" w:space="0" w:color="auto"/>
            </w:tcBorders>
            <w:vAlign w:val="center"/>
          </w:tcPr>
          <w:p w:rsidR="008C05B8" w:rsidRDefault="008C05B8" w:rsidP="00CC3304">
            <w:pPr>
              <w:keepNext/>
              <w:jc w:val="center"/>
            </w:pPr>
            <w:r>
              <w:t>e</w:t>
            </w:r>
            <w:r w:rsidRPr="00F1650E">
              <w:rPr>
                <w:vertAlign w:val="subscript"/>
              </w:rPr>
              <w:t>2</w:t>
            </w:r>
            <w:r>
              <w:rPr>
                <w:vertAlign w:val="subscript"/>
              </w:rPr>
              <w:t xml:space="preserve"> </w:t>
            </w:r>
            <w:r>
              <w:t>–</w:t>
            </w:r>
            <w:r w:rsidR="00182452">
              <w:t xml:space="preserve"> </w:t>
            </w:r>
            <w:r>
              <w:t>e</w:t>
            </w:r>
            <w:r w:rsidRPr="00F1650E">
              <w:rPr>
                <w:vertAlign w:val="subscript"/>
              </w:rPr>
              <w:t>1</w:t>
            </w:r>
          </w:p>
        </w:tc>
        <w:tc>
          <w:tcPr>
            <w:tcW w:w="0" w:type="auto"/>
            <w:vMerge w:val="restart"/>
            <w:vAlign w:val="center"/>
          </w:tcPr>
          <w:p w:rsidR="008C05B8" w:rsidRDefault="008C05B8" w:rsidP="00CC3304">
            <w:pPr>
              <w:keepNext/>
              <w:jc w:val="center"/>
            </w:pPr>
            <w:r>
              <w:t>-</w:t>
            </w:r>
          </w:p>
        </w:tc>
        <w:tc>
          <w:tcPr>
            <w:tcW w:w="0" w:type="auto"/>
            <w:vMerge w:val="restart"/>
            <w:vAlign w:val="center"/>
          </w:tcPr>
          <w:p w:rsidR="008C05B8" w:rsidRDefault="008C05B8" w:rsidP="00CC3304">
            <w:pPr>
              <w:keepNext/>
              <w:jc w:val="center"/>
            </w:pPr>
            <w:r>
              <w:t>g)</w:t>
            </w:r>
          </w:p>
        </w:tc>
        <w:tc>
          <w:tcPr>
            <w:tcW w:w="0" w:type="auto"/>
            <w:vMerge w:val="restart"/>
            <w:vAlign w:val="center"/>
          </w:tcPr>
          <w:p w:rsidR="008C05B8" w:rsidRPr="00FE65C6" w:rsidRDefault="008C05B8" w:rsidP="00CC3304">
            <w:pPr>
              <w:keepNext/>
              <w:jc w:val="center"/>
            </w:pPr>
            <w:r>
              <w:t>)</w:t>
            </w:r>
          </w:p>
        </w:tc>
      </w:tr>
      <w:tr w:rsidR="008C05B8" w:rsidTr="00CC3304">
        <w:trPr>
          <w:cantSplit/>
          <w:trHeight w:val="87"/>
        </w:trPr>
        <w:tc>
          <w:tcPr>
            <w:tcW w:w="432" w:type="dxa"/>
            <w:vMerge/>
            <w:vAlign w:val="center"/>
          </w:tcPr>
          <w:p w:rsidR="008C05B8" w:rsidRDefault="008C05B8" w:rsidP="00CC3304">
            <w:pPr>
              <w:keepNext/>
              <w:jc w:val="center"/>
            </w:pPr>
          </w:p>
        </w:tc>
        <w:tc>
          <w:tcPr>
            <w:tcW w:w="0" w:type="auto"/>
            <w:vMerge/>
            <w:vAlign w:val="center"/>
          </w:tcPr>
          <w:p w:rsidR="008C05B8" w:rsidRDefault="008C05B8" w:rsidP="00CC3304">
            <w:pPr>
              <w:keepNext/>
              <w:jc w:val="center"/>
            </w:pPr>
          </w:p>
        </w:tc>
        <w:tc>
          <w:tcPr>
            <w:tcW w:w="0" w:type="auto"/>
            <w:vMerge/>
            <w:vAlign w:val="center"/>
          </w:tcPr>
          <w:p w:rsidR="008C05B8" w:rsidRDefault="008C05B8" w:rsidP="00CC3304">
            <w:pPr>
              <w:keepNext/>
              <w:jc w:val="center"/>
            </w:pPr>
          </w:p>
        </w:tc>
        <w:tc>
          <w:tcPr>
            <w:tcW w:w="669" w:type="dxa"/>
            <w:vMerge/>
            <w:vAlign w:val="center"/>
          </w:tcPr>
          <w:p w:rsidR="008C05B8" w:rsidRDefault="008C05B8" w:rsidP="00CC3304">
            <w:pPr>
              <w:keepNext/>
              <w:jc w:val="center"/>
            </w:pPr>
          </w:p>
        </w:tc>
        <w:tc>
          <w:tcPr>
            <w:tcW w:w="0" w:type="auto"/>
            <w:vMerge/>
            <w:vAlign w:val="center"/>
          </w:tcPr>
          <w:p w:rsidR="008C05B8" w:rsidRDefault="008C05B8" w:rsidP="00CC3304">
            <w:pPr>
              <w:keepNext/>
              <w:jc w:val="center"/>
            </w:pPr>
          </w:p>
        </w:tc>
        <w:tc>
          <w:tcPr>
            <w:tcW w:w="365" w:type="dxa"/>
            <w:vMerge/>
            <w:vAlign w:val="center"/>
          </w:tcPr>
          <w:p w:rsidR="008C05B8" w:rsidRDefault="008C05B8" w:rsidP="00CC3304">
            <w:pPr>
              <w:keepNext/>
              <w:jc w:val="center"/>
            </w:pPr>
          </w:p>
        </w:tc>
        <w:tc>
          <w:tcPr>
            <w:tcW w:w="0" w:type="auto"/>
            <w:vMerge/>
            <w:vAlign w:val="center"/>
          </w:tcPr>
          <w:p w:rsidR="008C05B8" w:rsidRDefault="008C05B8" w:rsidP="00CC3304">
            <w:pPr>
              <w:keepNext/>
              <w:jc w:val="center"/>
            </w:pPr>
          </w:p>
        </w:tc>
        <w:tc>
          <w:tcPr>
            <w:tcW w:w="0" w:type="auto"/>
            <w:tcBorders>
              <w:top w:val="single" w:sz="2" w:space="0" w:color="auto"/>
            </w:tcBorders>
            <w:vAlign w:val="center"/>
          </w:tcPr>
          <w:p w:rsidR="008C05B8" w:rsidRDefault="008C05B8" w:rsidP="00CC3304">
            <w:pPr>
              <w:keepNext/>
              <w:jc w:val="center"/>
            </w:pPr>
            <w:r>
              <w:t>P</w:t>
            </w:r>
            <w:r>
              <w:rPr>
                <w:vertAlign w:val="subscript"/>
              </w:rPr>
              <w:t>0</w:t>
            </w:r>
          </w:p>
        </w:tc>
        <w:tc>
          <w:tcPr>
            <w:tcW w:w="0" w:type="auto"/>
            <w:vMerge/>
            <w:vAlign w:val="center"/>
          </w:tcPr>
          <w:p w:rsidR="008C05B8" w:rsidRDefault="008C05B8" w:rsidP="00CC3304">
            <w:pPr>
              <w:keepNext/>
              <w:jc w:val="center"/>
            </w:pPr>
          </w:p>
        </w:tc>
        <w:tc>
          <w:tcPr>
            <w:tcW w:w="0" w:type="auto"/>
            <w:vMerge/>
            <w:vAlign w:val="center"/>
          </w:tcPr>
          <w:p w:rsidR="008C05B8" w:rsidRDefault="008C05B8" w:rsidP="00CC3304">
            <w:pPr>
              <w:keepNext/>
              <w:jc w:val="center"/>
            </w:pPr>
          </w:p>
        </w:tc>
        <w:tc>
          <w:tcPr>
            <w:tcW w:w="711" w:type="dxa"/>
            <w:tcBorders>
              <w:top w:val="single" w:sz="2" w:space="0" w:color="auto"/>
            </w:tcBorders>
            <w:vAlign w:val="center"/>
          </w:tcPr>
          <w:p w:rsidR="008C05B8" w:rsidRDefault="008C05B8" w:rsidP="00CC3304">
            <w:pPr>
              <w:keepNext/>
              <w:jc w:val="center"/>
            </w:pPr>
            <w:r>
              <w:t>e</w:t>
            </w:r>
            <w:r>
              <w:rPr>
                <w:vertAlign w:val="subscript"/>
              </w:rPr>
              <w:t>1</w:t>
            </w:r>
          </w:p>
        </w:tc>
        <w:tc>
          <w:tcPr>
            <w:tcW w:w="0" w:type="auto"/>
            <w:vMerge/>
            <w:vAlign w:val="center"/>
          </w:tcPr>
          <w:p w:rsidR="008C05B8" w:rsidRDefault="008C05B8" w:rsidP="00CC3304">
            <w:pPr>
              <w:keepNext/>
              <w:jc w:val="center"/>
            </w:pPr>
          </w:p>
        </w:tc>
        <w:tc>
          <w:tcPr>
            <w:tcW w:w="0" w:type="auto"/>
            <w:vMerge/>
            <w:vAlign w:val="center"/>
          </w:tcPr>
          <w:p w:rsidR="008C05B8" w:rsidRDefault="008C05B8" w:rsidP="00CC3304">
            <w:pPr>
              <w:keepNext/>
              <w:jc w:val="center"/>
            </w:pPr>
          </w:p>
        </w:tc>
        <w:tc>
          <w:tcPr>
            <w:tcW w:w="0" w:type="auto"/>
            <w:vMerge/>
            <w:vAlign w:val="center"/>
          </w:tcPr>
          <w:p w:rsidR="008C05B8" w:rsidRDefault="008C05B8" w:rsidP="00CC3304">
            <w:pPr>
              <w:keepNext/>
              <w:jc w:val="center"/>
            </w:pPr>
          </w:p>
        </w:tc>
      </w:tr>
    </w:tbl>
    <w:p w:rsidR="008C05B8" w:rsidRDefault="008C05B8" w:rsidP="00A84F04">
      <w:pPr>
        <w:pStyle w:val="BodyText"/>
      </w:pPr>
      <w:r>
        <w:t xml:space="preserve">where </w:t>
      </w:r>
    </w:p>
    <w:tbl>
      <w:tblPr>
        <w:tblW w:w="0" w:type="auto"/>
        <w:tblInd w:w="115" w:type="dxa"/>
        <w:tblCellMar>
          <w:left w:w="0" w:type="dxa"/>
          <w:right w:w="0" w:type="dxa"/>
        </w:tblCellMar>
        <w:tblLook w:val="01E0" w:firstRow="1" w:lastRow="1" w:firstColumn="1" w:lastColumn="1" w:noHBand="0" w:noVBand="0"/>
      </w:tblPr>
      <w:tblGrid>
        <w:gridCol w:w="425"/>
        <w:gridCol w:w="360"/>
        <w:gridCol w:w="107"/>
        <w:gridCol w:w="110"/>
        <w:gridCol w:w="203"/>
        <w:gridCol w:w="360"/>
        <w:gridCol w:w="180"/>
      </w:tblGrid>
      <w:tr w:rsidR="008C05B8" w:rsidTr="00CC3304">
        <w:trPr>
          <w:cantSplit/>
        </w:trPr>
        <w:tc>
          <w:tcPr>
            <w:tcW w:w="425" w:type="dxa"/>
            <w:vMerge w:val="restart"/>
            <w:vAlign w:val="center"/>
          </w:tcPr>
          <w:p w:rsidR="008C05B8" w:rsidRPr="00FE337A" w:rsidRDefault="008C05B8" w:rsidP="00CC3304">
            <w:pPr>
              <w:keepNext/>
              <w:jc w:val="center"/>
            </w:pPr>
            <w:r>
              <w:t>A =</w:t>
            </w:r>
          </w:p>
        </w:tc>
        <w:tc>
          <w:tcPr>
            <w:tcW w:w="360" w:type="dxa"/>
            <w:tcBorders>
              <w:bottom w:val="single" w:sz="2" w:space="0" w:color="auto"/>
            </w:tcBorders>
            <w:vAlign w:val="center"/>
          </w:tcPr>
          <w:p w:rsidR="008C05B8" w:rsidRDefault="008C05B8" w:rsidP="00CC3304">
            <w:pPr>
              <w:keepNext/>
              <w:jc w:val="center"/>
            </w:pPr>
            <w:r>
              <w:t>1</w:t>
            </w:r>
          </w:p>
        </w:tc>
        <w:tc>
          <w:tcPr>
            <w:tcW w:w="107" w:type="dxa"/>
            <w:vMerge w:val="restart"/>
            <w:vAlign w:val="center"/>
          </w:tcPr>
          <w:p w:rsidR="008C05B8" w:rsidRPr="00FE65C6" w:rsidRDefault="008C05B8" w:rsidP="00CC3304">
            <w:pPr>
              <w:keepNext/>
              <w:jc w:val="center"/>
            </w:pPr>
            <w:r w:rsidRPr="00FE65C6">
              <w:t>(</w:t>
            </w:r>
          </w:p>
        </w:tc>
        <w:tc>
          <w:tcPr>
            <w:tcW w:w="0" w:type="auto"/>
            <w:vMerge w:val="restart"/>
            <w:vAlign w:val="center"/>
          </w:tcPr>
          <w:p w:rsidR="008C05B8" w:rsidRDefault="008C05B8" w:rsidP="00CC3304">
            <w:pPr>
              <w:keepNext/>
            </w:pPr>
            <w:r>
              <w:t>g</w:t>
            </w:r>
          </w:p>
        </w:tc>
        <w:tc>
          <w:tcPr>
            <w:tcW w:w="203" w:type="dxa"/>
            <w:vMerge w:val="restart"/>
            <w:vAlign w:val="center"/>
          </w:tcPr>
          <w:p w:rsidR="008C05B8" w:rsidRDefault="008C05B8" w:rsidP="00CC3304">
            <w:pPr>
              <w:keepNext/>
              <w:jc w:val="center"/>
            </w:pPr>
            <w:r>
              <w:t>+</w:t>
            </w:r>
          </w:p>
        </w:tc>
        <w:tc>
          <w:tcPr>
            <w:tcW w:w="360" w:type="dxa"/>
            <w:tcBorders>
              <w:bottom w:val="single" w:sz="2" w:space="0" w:color="auto"/>
            </w:tcBorders>
            <w:vAlign w:val="center"/>
          </w:tcPr>
          <w:p w:rsidR="008C05B8" w:rsidRDefault="000A7E6D" w:rsidP="00CC3304">
            <w:pPr>
              <w:keepNext/>
              <w:jc w:val="center"/>
            </w:pPr>
            <w:r>
              <w:t>d</w:t>
            </w:r>
            <w:r w:rsidR="008C05B8" w:rsidRPr="00F1650E">
              <w:rPr>
                <w:vertAlign w:val="subscript"/>
              </w:rPr>
              <w:t>1</w:t>
            </w:r>
          </w:p>
        </w:tc>
        <w:tc>
          <w:tcPr>
            <w:tcW w:w="180" w:type="dxa"/>
            <w:vMerge w:val="restart"/>
            <w:vAlign w:val="center"/>
          </w:tcPr>
          <w:p w:rsidR="008C05B8" w:rsidRPr="00FE65C6" w:rsidRDefault="008C05B8" w:rsidP="00CC3304">
            <w:pPr>
              <w:keepNext/>
              <w:jc w:val="center"/>
            </w:pPr>
            <w:r>
              <w:t>)</w:t>
            </w:r>
          </w:p>
        </w:tc>
      </w:tr>
      <w:tr w:rsidR="008C05B8" w:rsidTr="00CC3304">
        <w:trPr>
          <w:cantSplit/>
        </w:trPr>
        <w:tc>
          <w:tcPr>
            <w:tcW w:w="425" w:type="dxa"/>
            <w:vMerge/>
            <w:vAlign w:val="center"/>
          </w:tcPr>
          <w:p w:rsidR="008C05B8" w:rsidRDefault="008C05B8" w:rsidP="00CC3304">
            <w:pPr>
              <w:keepNext/>
              <w:jc w:val="center"/>
            </w:pPr>
          </w:p>
        </w:tc>
        <w:tc>
          <w:tcPr>
            <w:tcW w:w="360" w:type="dxa"/>
            <w:tcBorders>
              <w:top w:val="single" w:sz="2" w:space="0" w:color="auto"/>
            </w:tcBorders>
            <w:vAlign w:val="center"/>
          </w:tcPr>
          <w:p w:rsidR="008C05B8" w:rsidRDefault="008C05B8" w:rsidP="00CC3304">
            <w:pPr>
              <w:keepNext/>
              <w:jc w:val="center"/>
            </w:pPr>
            <w:r>
              <w:t>2</w:t>
            </w:r>
          </w:p>
        </w:tc>
        <w:tc>
          <w:tcPr>
            <w:tcW w:w="107" w:type="dxa"/>
            <w:vMerge/>
            <w:vAlign w:val="center"/>
          </w:tcPr>
          <w:p w:rsidR="008C05B8" w:rsidRDefault="008C05B8" w:rsidP="00CC3304">
            <w:pPr>
              <w:keepNext/>
              <w:jc w:val="center"/>
            </w:pPr>
          </w:p>
        </w:tc>
        <w:tc>
          <w:tcPr>
            <w:tcW w:w="0" w:type="auto"/>
            <w:vMerge/>
            <w:vAlign w:val="center"/>
          </w:tcPr>
          <w:p w:rsidR="008C05B8" w:rsidRDefault="008C05B8" w:rsidP="00CC3304">
            <w:pPr>
              <w:keepNext/>
              <w:jc w:val="center"/>
            </w:pPr>
          </w:p>
        </w:tc>
        <w:tc>
          <w:tcPr>
            <w:tcW w:w="203" w:type="dxa"/>
            <w:vMerge/>
            <w:vAlign w:val="center"/>
          </w:tcPr>
          <w:p w:rsidR="008C05B8" w:rsidRDefault="008C05B8" w:rsidP="00CC3304">
            <w:pPr>
              <w:keepNext/>
              <w:jc w:val="center"/>
            </w:pPr>
          </w:p>
        </w:tc>
        <w:tc>
          <w:tcPr>
            <w:tcW w:w="360" w:type="dxa"/>
            <w:tcBorders>
              <w:top w:val="single" w:sz="2" w:space="0" w:color="auto"/>
            </w:tcBorders>
            <w:vAlign w:val="center"/>
          </w:tcPr>
          <w:p w:rsidR="008C05B8" w:rsidRDefault="008C05B8" w:rsidP="00CC3304">
            <w:pPr>
              <w:keepNext/>
              <w:jc w:val="center"/>
            </w:pPr>
            <w:r>
              <w:t>P</w:t>
            </w:r>
            <w:r>
              <w:rPr>
                <w:vertAlign w:val="subscript"/>
              </w:rPr>
              <w:t>0</w:t>
            </w:r>
          </w:p>
        </w:tc>
        <w:tc>
          <w:tcPr>
            <w:tcW w:w="180" w:type="dxa"/>
            <w:vMerge/>
            <w:vAlign w:val="center"/>
          </w:tcPr>
          <w:p w:rsidR="008C05B8" w:rsidRDefault="008C05B8" w:rsidP="00CC3304">
            <w:pPr>
              <w:keepNext/>
              <w:jc w:val="center"/>
            </w:pPr>
          </w:p>
        </w:tc>
      </w:tr>
    </w:tbl>
    <w:p w:rsidR="008C05B8" w:rsidRDefault="008C05B8" w:rsidP="00811F73"/>
    <w:p w:rsidR="008516C6" w:rsidRDefault="00563328" w:rsidP="008516C6">
      <w:r w:rsidRPr="00563328">
        <w:t>To infer r</w:t>
      </w:r>
      <w:r w:rsidRPr="00563328">
        <w:rPr>
          <w:vertAlign w:val="subscript"/>
        </w:rPr>
        <w:t>e</w:t>
      </w:r>
      <w:r w:rsidRPr="00563328">
        <w:t xml:space="preserve"> using the above formula requires some value of g, the growth rate of the residual change in earnings. The spreadsheet allows for </w:t>
      </w:r>
      <w:r>
        <w:t>three</w:t>
      </w:r>
      <w:r w:rsidRPr="00563328">
        <w:t xml:space="preserve"> possibilities. Out of these </w:t>
      </w:r>
      <w:r>
        <w:t>three</w:t>
      </w:r>
      <w:r w:rsidRPr="00563328">
        <w:t>, the third one</w:t>
      </w:r>
      <w:r>
        <w:t xml:space="preserve"> – which </w:t>
      </w:r>
      <w:r w:rsidRPr="00563328">
        <w:t xml:space="preserve">captures the idea that growth comes with risk </w:t>
      </w:r>
      <w:r>
        <w:t xml:space="preserve">– is </w:t>
      </w:r>
      <w:r w:rsidRPr="00563328">
        <w:t xml:space="preserve">the most reasonable. </w:t>
      </w:r>
      <w:r w:rsidR="00127D14">
        <w:t xml:space="preserve">This </w:t>
      </w:r>
      <w:r w:rsidR="00A84F04">
        <w:t>case, described in Assumption III</w:t>
      </w:r>
      <w:r w:rsidR="00127D14" w:rsidRPr="00127D14">
        <w:t xml:space="preserve"> below, provides our main measure of</w:t>
      </w:r>
      <w:r w:rsidR="00511087">
        <w:t xml:space="preserve"> implied </w:t>
      </w:r>
      <w:r w:rsidR="00127D14" w:rsidRPr="00127D14">
        <w:t>returns</w:t>
      </w:r>
      <w:r>
        <w:t>.</w:t>
      </w:r>
    </w:p>
    <w:p w:rsidR="008516C6" w:rsidRDefault="008516C6" w:rsidP="00BD35E4">
      <w:pPr>
        <w:pStyle w:val="Heading3"/>
      </w:pPr>
      <w:r>
        <w:t>Assumption I: g = short-term growth in earnings</w:t>
      </w:r>
      <w:r w:rsidR="00C52C10">
        <w:t>,</w:t>
      </w:r>
      <w:r>
        <w:t xml:space="preserve"> (e</w:t>
      </w:r>
      <w:r w:rsidRPr="008516C6">
        <w:rPr>
          <w:vertAlign w:val="subscript"/>
        </w:rPr>
        <w:t>2</w:t>
      </w:r>
      <w:r>
        <w:t>-e</w:t>
      </w:r>
      <w:r w:rsidRPr="008516C6">
        <w:rPr>
          <w:vertAlign w:val="subscript"/>
        </w:rPr>
        <w:t>1</w:t>
      </w:r>
      <w:r>
        <w:t>)/e</w:t>
      </w:r>
      <w:r w:rsidRPr="008516C6">
        <w:rPr>
          <w:vertAlign w:val="subscript"/>
        </w:rPr>
        <w:t>1</w:t>
      </w:r>
    </w:p>
    <w:p w:rsidR="00C52C10" w:rsidRPr="00C52C10" w:rsidRDefault="00C52C10" w:rsidP="00C52C10">
      <w:pPr>
        <w:pStyle w:val="BodyText"/>
      </w:pPr>
      <w:r w:rsidRPr="00C52C10">
        <w:t>Given the restriction g</w:t>
      </w:r>
      <w:r>
        <w:t xml:space="preserve"> </w:t>
      </w:r>
      <w:r w:rsidRPr="00C52C10">
        <w:t>=</w:t>
      </w:r>
      <w:r>
        <w:t xml:space="preserve"> (e</w:t>
      </w:r>
      <w:r w:rsidRPr="00C52C10">
        <w:rPr>
          <w:vertAlign w:val="subscript"/>
        </w:rPr>
        <w:t>2</w:t>
      </w:r>
      <w:r>
        <w:t>-e</w:t>
      </w:r>
      <w:r w:rsidRPr="00C52C10">
        <w:rPr>
          <w:vertAlign w:val="subscript"/>
        </w:rPr>
        <w:t>1</w:t>
      </w:r>
      <w:r>
        <w:t>)/e</w:t>
      </w:r>
      <w:r w:rsidRPr="00C52C10">
        <w:rPr>
          <w:vertAlign w:val="subscript"/>
        </w:rPr>
        <w:t>1</w:t>
      </w:r>
      <w:r w:rsidR="003D2301">
        <w:t>,</w:t>
      </w:r>
      <w:r w:rsidRPr="00C52C10">
        <w:t xml:space="preserve"> </w:t>
      </w:r>
      <w:r w:rsidR="003D2301">
        <w:t xml:space="preserve">reverse engineering the </w:t>
      </w:r>
      <w:r w:rsidRPr="00C52C10">
        <w:t xml:space="preserve">OJ formula </w:t>
      </w:r>
      <w:r w:rsidR="00CA5E22" w:rsidRPr="000C7491">
        <w:t>implies</w:t>
      </w:r>
      <w:r w:rsidR="00ED616C">
        <w:t>:</w:t>
      </w:r>
    </w:p>
    <w:tbl>
      <w:tblPr>
        <w:tblW w:w="0" w:type="auto"/>
        <w:tblInd w:w="115" w:type="dxa"/>
        <w:tblCellMar>
          <w:left w:w="0" w:type="dxa"/>
          <w:right w:w="0" w:type="dxa"/>
        </w:tblCellMar>
        <w:tblLook w:val="01E0" w:firstRow="1" w:lastRow="1" w:firstColumn="1" w:lastColumn="1" w:noHBand="0" w:noVBand="0"/>
      </w:tblPr>
      <w:tblGrid>
        <w:gridCol w:w="425"/>
        <w:gridCol w:w="110"/>
        <w:gridCol w:w="203"/>
        <w:gridCol w:w="360"/>
      </w:tblGrid>
      <w:tr w:rsidR="00FD456F" w:rsidTr="008B7EC2">
        <w:trPr>
          <w:cantSplit/>
        </w:trPr>
        <w:tc>
          <w:tcPr>
            <w:tcW w:w="425" w:type="dxa"/>
            <w:vMerge w:val="restart"/>
            <w:vAlign w:val="center"/>
          </w:tcPr>
          <w:p w:rsidR="00FD456F" w:rsidRPr="00FE337A" w:rsidRDefault="00FD456F" w:rsidP="008B7EC2">
            <w:pPr>
              <w:keepNext/>
              <w:jc w:val="center"/>
            </w:pPr>
            <w:r>
              <w:t>r</w:t>
            </w:r>
            <w:r w:rsidRPr="00607345">
              <w:rPr>
                <w:vertAlign w:val="subscript"/>
              </w:rPr>
              <w:t>e</w:t>
            </w:r>
            <w:r>
              <w:t xml:space="preserve"> =</w:t>
            </w:r>
          </w:p>
        </w:tc>
        <w:tc>
          <w:tcPr>
            <w:tcW w:w="0" w:type="auto"/>
            <w:vMerge w:val="restart"/>
            <w:vAlign w:val="center"/>
          </w:tcPr>
          <w:p w:rsidR="00FD456F" w:rsidRDefault="005956EE" w:rsidP="008B7EC2">
            <w:pPr>
              <w:keepNext/>
              <w:jc w:val="center"/>
            </w:pPr>
            <w:r>
              <w:t>g</w:t>
            </w:r>
          </w:p>
        </w:tc>
        <w:tc>
          <w:tcPr>
            <w:tcW w:w="203" w:type="dxa"/>
            <w:vMerge w:val="restart"/>
            <w:vAlign w:val="center"/>
          </w:tcPr>
          <w:p w:rsidR="00FD456F" w:rsidRDefault="00FD456F" w:rsidP="008B7EC2">
            <w:pPr>
              <w:keepNext/>
              <w:jc w:val="center"/>
            </w:pPr>
            <w:r>
              <w:t>+</w:t>
            </w:r>
          </w:p>
        </w:tc>
        <w:tc>
          <w:tcPr>
            <w:tcW w:w="360" w:type="dxa"/>
            <w:tcBorders>
              <w:bottom w:val="single" w:sz="2" w:space="0" w:color="auto"/>
            </w:tcBorders>
            <w:vAlign w:val="center"/>
          </w:tcPr>
          <w:p w:rsidR="00FD456F" w:rsidRPr="00ED616C" w:rsidRDefault="00FD456F" w:rsidP="008B7EC2">
            <w:pPr>
              <w:keepNext/>
              <w:jc w:val="center"/>
            </w:pPr>
            <w:r>
              <w:t>d</w:t>
            </w:r>
            <w:r w:rsidRPr="00F1650E">
              <w:rPr>
                <w:vertAlign w:val="subscript"/>
              </w:rPr>
              <w:t>1</w:t>
            </w:r>
          </w:p>
        </w:tc>
      </w:tr>
      <w:tr w:rsidR="00FD456F" w:rsidTr="008B7EC2">
        <w:trPr>
          <w:cantSplit/>
        </w:trPr>
        <w:tc>
          <w:tcPr>
            <w:tcW w:w="425" w:type="dxa"/>
            <w:vMerge/>
            <w:vAlign w:val="center"/>
          </w:tcPr>
          <w:p w:rsidR="00FD456F" w:rsidRDefault="00FD456F" w:rsidP="008B7EC2">
            <w:pPr>
              <w:keepNext/>
              <w:jc w:val="center"/>
            </w:pPr>
          </w:p>
        </w:tc>
        <w:tc>
          <w:tcPr>
            <w:tcW w:w="0" w:type="auto"/>
            <w:vMerge/>
            <w:vAlign w:val="center"/>
          </w:tcPr>
          <w:p w:rsidR="00FD456F" w:rsidRDefault="00FD456F" w:rsidP="008B7EC2">
            <w:pPr>
              <w:keepNext/>
              <w:jc w:val="center"/>
            </w:pPr>
          </w:p>
        </w:tc>
        <w:tc>
          <w:tcPr>
            <w:tcW w:w="203" w:type="dxa"/>
            <w:vMerge/>
            <w:vAlign w:val="center"/>
          </w:tcPr>
          <w:p w:rsidR="00FD456F" w:rsidRDefault="00FD456F" w:rsidP="008B7EC2">
            <w:pPr>
              <w:keepNext/>
              <w:jc w:val="center"/>
            </w:pPr>
          </w:p>
        </w:tc>
        <w:tc>
          <w:tcPr>
            <w:tcW w:w="360" w:type="dxa"/>
            <w:tcBorders>
              <w:top w:val="single" w:sz="2" w:space="0" w:color="auto"/>
            </w:tcBorders>
            <w:vAlign w:val="center"/>
          </w:tcPr>
          <w:p w:rsidR="00FD456F" w:rsidRPr="00ED616C" w:rsidRDefault="00FD456F" w:rsidP="008B7EC2">
            <w:pPr>
              <w:keepNext/>
              <w:jc w:val="center"/>
            </w:pPr>
            <w:r>
              <w:t>P</w:t>
            </w:r>
            <w:r>
              <w:rPr>
                <w:vertAlign w:val="subscript"/>
              </w:rPr>
              <w:t>0</w:t>
            </w:r>
          </w:p>
        </w:tc>
      </w:tr>
    </w:tbl>
    <w:p w:rsidR="00E922CE" w:rsidRDefault="00E922CE" w:rsidP="00971FCE">
      <w:pPr>
        <w:pStyle w:val="BodyText"/>
      </w:pPr>
      <w:r>
        <w:t xml:space="preserve">This familiar expression shows that the growth rate </w:t>
      </w:r>
      <w:r w:rsidR="00ED616C">
        <w:t xml:space="preserve">plus dividend yield </w:t>
      </w:r>
      <w:r>
        <w:t>determines the discount factor. It serves as benchmark when, effectively, short and</w:t>
      </w:r>
      <w:r w:rsidR="002A7339">
        <w:t xml:space="preserve"> long term growth are the same.</w:t>
      </w:r>
    </w:p>
    <w:p w:rsidR="008516C6" w:rsidRDefault="00E922CE" w:rsidP="00BD35E4">
      <w:pPr>
        <w:pStyle w:val="Heading3"/>
      </w:pPr>
      <w:r>
        <w:t xml:space="preserve">Assumption II: </w:t>
      </w:r>
      <w:r w:rsidR="008516C6">
        <w:t>g = long-run GDP growth</w:t>
      </w:r>
    </w:p>
    <w:p w:rsidR="00690536" w:rsidRDefault="00EE350C" w:rsidP="00EE350C">
      <w:pPr>
        <w:pStyle w:val="BodyText"/>
      </w:pPr>
      <w:r w:rsidRPr="00EE350C">
        <w:t xml:space="preserve">One </w:t>
      </w:r>
      <w:r w:rsidR="005956EE">
        <w:t xml:space="preserve">can </w:t>
      </w:r>
      <w:r w:rsidR="00307591">
        <w:t>assume that, in the long run, all firms will grow at the long-r</w:t>
      </w:r>
      <w:r w:rsidR="00690536">
        <w:t>un GDP growth rate of about 3%.</w:t>
      </w:r>
    </w:p>
    <w:p w:rsidR="00EE350C" w:rsidRPr="009C4A77" w:rsidRDefault="009C4A77" w:rsidP="00EE350C">
      <w:pPr>
        <w:pStyle w:val="BodyText"/>
      </w:pPr>
      <w:r w:rsidRPr="009C4A77">
        <w:t xml:space="preserve">If g is set equal to </w:t>
      </w:r>
      <w:r>
        <w:t>zero</w:t>
      </w:r>
      <w:r w:rsidRPr="009C4A77">
        <w:t xml:space="preserve"> and there are no dividends, then PEG and </w:t>
      </w:r>
      <w:r>
        <w:t>r</w:t>
      </w:r>
      <w:r w:rsidRPr="009C4A77">
        <w:rPr>
          <w:vertAlign w:val="subscript"/>
        </w:rPr>
        <w:t>e</w:t>
      </w:r>
      <w:r w:rsidRPr="009C4A77">
        <w:t xml:space="preserve"> have a one-to-one relation. Mor</w:t>
      </w:r>
      <w:r>
        <w:t>e</w:t>
      </w:r>
      <w:r w:rsidRPr="009C4A77">
        <w:t xml:space="preserve"> generally, one can expect PEG and</w:t>
      </w:r>
      <w:r>
        <w:t xml:space="preserve"> r</w:t>
      </w:r>
      <w:r w:rsidRPr="009C4A77">
        <w:rPr>
          <w:vertAlign w:val="subscript"/>
        </w:rPr>
        <w:t>e</w:t>
      </w:r>
      <w:r w:rsidRPr="009C4A77">
        <w:t xml:space="preserve"> to rank firms similarly.</w:t>
      </w:r>
    </w:p>
    <w:p w:rsidR="00033187" w:rsidRDefault="00E922CE" w:rsidP="00BD35E4">
      <w:pPr>
        <w:pStyle w:val="Heading3"/>
      </w:pPr>
      <w:r>
        <w:t xml:space="preserve">Assumption III: g = </w:t>
      </w:r>
      <w:r w:rsidR="00EB2B1D">
        <w:t>r</w:t>
      </w:r>
      <w:r w:rsidR="00EB2B1D" w:rsidRPr="00033187">
        <w:rPr>
          <w:vertAlign w:val="subscript"/>
        </w:rPr>
        <w:t>e</w:t>
      </w:r>
      <w:r w:rsidR="00EB2B1D">
        <w:rPr>
          <w:vertAlign w:val="subscript"/>
        </w:rPr>
        <w:t xml:space="preserve"> </w:t>
      </w:r>
      <w:r w:rsidR="00F8739B">
        <w:t>–</w:t>
      </w:r>
      <w:r w:rsidR="00EB2B1D">
        <w:t xml:space="preserve"> r</w:t>
      </w:r>
      <w:r w:rsidR="0080711D">
        <w:rPr>
          <w:vertAlign w:val="subscript"/>
        </w:rPr>
        <w:t>L</w:t>
      </w:r>
      <w:r w:rsidR="00F8739B">
        <w:rPr>
          <w:vertAlign w:val="subscript"/>
        </w:rPr>
        <w:t xml:space="preserve"> </w:t>
      </w:r>
      <w:r>
        <w:t>to capture the idea that growth comes with risk</w:t>
      </w:r>
    </w:p>
    <w:p w:rsidR="00EB2B1D" w:rsidRDefault="00E53D78" w:rsidP="009B5AC2">
      <w:pPr>
        <w:pStyle w:val="BodyText"/>
      </w:pPr>
      <w:r>
        <w:t xml:space="preserve">This case gives the formula discussed initially. </w:t>
      </w:r>
      <w:r w:rsidR="004A5823">
        <w:t>Recall that</w:t>
      </w:r>
      <w:r w:rsidR="00DE627B">
        <w:t xml:space="preserve"> r</w:t>
      </w:r>
      <w:r w:rsidR="0080711D">
        <w:rPr>
          <w:vertAlign w:val="subscript"/>
        </w:rPr>
        <w:t>L</w:t>
      </w:r>
      <w:r w:rsidR="004A5823">
        <w:t xml:space="preserve"> is</w:t>
      </w:r>
      <w:r w:rsidR="00DE627B">
        <w:t xml:space="preserve"> the forward earnings yield in the long run. </w:t>
      </w:r>
      <w:r w:rsidR="00033187">
        <w:t xml:space="preserve">Setting </w:t>
      </w:r>
      <w:r w:rsidR="00A84F04">
        <w:t xml:space="preserve"> g </w:t>
      </w:r>
      <w:r w:rsidR="00033187">
        <w:t>=</w:t>
      </w:r>
      <w:r w:rsidR="00DE627B">
        <w:t xml:space="preserve"> </w:t>
      </w:r>
      <w:r w:rsidR="00A84F04">
        <w:t>r</w:t>
      </w:r>
      <w:r w:rsidR="00A84F04" w:rsidRPr="00FE337A">
        <w:rPr>
          <w:vertAlign w:val="subscript"/>
        </w:rPr>
        <w:t>e</w:t>
      </w:r>
      <w:r w:rsidR="00A84F04">
        <w:t xml:space="preserve"> – </w:t>
      </w:r>
      <w:r w:rsidR="00DE627B">
        <w:t>r</w:t>
      </w:r>
      <w:r w:rsidR="0080711D">
        <w:rPr>
          <w:vertAlign w:val="subscript"/>
        </w:rPr>
        <w:t>L</w:t>
      </w:r>
      <w:r w:rsidR="00DE627B">
        <w:t xml:space="preserve"> </w:t>
      </w:r>
      <w:r w:rsidR="00EB2B1D">
        <w:t>in the OJ derivation,</w:t>
      </w:r>
      <w:r w:rsidR="00033187" w:rsidRPr="000C7491">
        <w:t xml:space="preserve"> </w:t>
      </w:r>
      <w:r w:rsidR="00CA5E22" w:rsidRPr="000C7491">
        <w:t>one obtains</w:t>
      </w:r>
      <w:r w:rsidR="00033187">
        <w:t>:</w:t>
      </w:r>
    </w:p>
    <w:tbl>
      <w:tblPr>
        <w:tblW w:w="0" w:type="auto"/>
        <w:tblInd w:w="115" w:type="dxa"/>
        <w:tblLook w:val="01E0" w:firstRow="1" w:lastRow="1" w:firstColumn="1" w:lastColumn="1" w:noHBand="0" w:noVBand="0"/>
      </w:tblPr>
      <w:tblGrid>
        <w:gridCol w:w="588"/>
        <w:gridCol w:w="384"/>
        <w:gridCol w:w="341"/>
        <w:gridCol w:w="1876"/>
      </w:tblGrid>
      <w:tr w:rsidR="00033187" w:rsidTr="00CB6EC6">
        <w:trPr>
          <w:cantSplit/>
        </w:trPr>
        <w:tc>
          <w:tcPr>
            <w:tcW w:w="0" w:type="auto"/>
          </w:tcPr>
          <w:p w:rsidR="00033187" w:rsidRPr="00FE337A" w:rsidRDefault="00033187" w:rsidP="00CB6EC6">
            <w:pPr>
              <w:keepNext/>
              <w:jc w:val="center"/>
            </w:pPr>
            <w:r>
              <w:t>P</w:t>
            </w:r>
            <w:r w:rsidRPr="00FE337A">
              <w:rPr>
                <w:vertAlign w:val="subscript"/>
              </w:rPr>
              <w:t>0</w:t>
            </w:r>
            <w:r>
              <w:t xml:space="preserve"> =</w:t>
            </w:r>
          </w:p>
        </w:tc>
        <w:tc>
          <w:tcPr>
            <w:tcW w:w="0" w:type="auto"/>
            <w:tcBorders>
              <w:bottom w:val="single" w:sz="2" w:space="0" w:color="auto"/>
            </w:tcBorders>
          </w:tcPr>
          <w:p w:rsidR="00033187" w:rsidRDefault="00033187" w:rsidP="00CB6EC6">
            <w:pPr>
              <w:keepNext/>
              <w:jc w:val="center"/>
            </w:pPr>
            <w:r>
              <w:t>e</w:t>
            </w:r>
            <w:r w:rsidRPr="00F1650E">
              <w:rPr>
                <w:vertAlign w:val="subscript"/>
              </w:rPr>
              <w:t>1</w:t>
            </w:r>
          </w:p>
        </w:tc>
        <w:tc>
          <w:tcPr>
            <w:tcW w:w="0" w:type="auto"/>
          </w:tcPr>
          <w:p w:rsidR="00033187" w:rsidRDefault="00033187" w:rsidP="00CB6EC6">
            <w:pPr>
              <w:keepNext/>
              <w:jc w:val="center"/>
            </w:pPr>
            <w:r>
              <w:t>+</w:t>
            </w:r>
          </w:p>
        </w:tc>
        <w:tc>
          <w:tcPr>
            <w:tcW w:w="0" w:type="auto"/>
            <w:tcBorders>
              <w:bottom w:val="single" w:sz="2" w:space="0" w:color="auto"/>
            </w:tcBorders>
          </w:tcPr>
          <w:p w:rsidR="00033187" w:rsidRDefault="00033187" w:rsidP="00CB6EC6">
            <w:pPr>
              <w:keepNext/>
              <w:jc w:val="center"/>
            </w:pPr>
            <w:r>
              <w:t>e</w:t>
            </w:r>
            <w:r w:rsidRPr="00F1650E">
              <w:rPr>
                <w:vertAlign w:val="subscript"/>
              </w:rPr>
              <w:t>2</w:t>
            </w:r>
            <w:r>
              <w:rPr>
                <w:vertAlign w:val="subscript"/>
              </w:rPr>
              <w:t xml:space="preserve"> </w:t>
            </w:r>
            <w:r>
              <w:t>– e</w:t>
            </w:r>
            <w:r w:rsidRPr="00F1650E">
              <w:rPr>
                <w:vertAlign w:val="subscript"/>
              </w:rPr>
              <w:t>1</w:t>
            </w:r>
            <w:r>
              <w:t xml:space="preserve"> – r</w:t>
            </w:r>
            <w:r w:rsidRPr="00FE337A">
              <w:rPr>
                <w:vertAlign w:val="subscript"/>
              </w:rPr>
              <w:t>e</w:t>
            </w:r>
            <w:r>
              <w:t xml:space="preserve"> (e</w:t>
            </w:r>
            <w:r w:rsidRPr="00F1650E">
              <w:rPr>
                <w:vertAlign w:val="subscript"/>
              </w:rPr>
              <w:t>1</w:t>
            </w:r>
            <w:r>
              <w:t xml:space="preserve"> – d</w:t>
            </w:r>
            <w:r w:rsidRPr="00F1650E">
              <w:rPr>
                <w:vertAlign w:val="subscript"/>
              </w:rPr>
              <w:t>1</w:t>
            </w:r>
            <w:r>
              <w:t>)</w:t>
            </w:r>
          </w:p>
        </w:tc>
      </w:tr>
      <w:tr w:rsidR="00033187" w:rsidTr="00CB6EC6">
        <w:trPr>
          <w:cantSplit/>
        </w:trPr>
        <w:tc>
          <w:tcPr>
            <w:tcW w:w="0" w:type="auto"/>
          </w:tcPr>
          <w:p w:rsidR="00033187" w:rsidRDefault="00033187" w:rsidP="00CB6EC6">
            <w:pPr>
              <w:keepNext/>
              <w:jc w:val="center"/>
            </w:pPr>
          </w:p>
        </w:tc>
        <w:tc>
          <w:tcPr>
            <w:tcW w:w="0" w:type="auto"/>
            <w:tcBorders>
              <w:top w:val="single" w:sz="2" w:space="0" w:color="auto"/>
            </w:tcBorders>
          </w:tcPr>
          <w:p w:rsidR="00033187" w:rsidRDefault="00033187" w:rsidP="00CB6EC6">
            <w:pPr>
              <w:keepNext/>
              <w:jc w:val="center"/>
            </w:pPr>
            <w:r>
              <w:t>r</w:t>
            </w:r>
            <w:r w:rsidRPr="00FE337A">
              <w:rPr>
                <w:vertAlign w:val="subscript"/>
              </w:rPr>
              <w:t>e</w:t>
            </w:r>
          </w:p>
        </w:tc>
        <w:tc>
          <w:tcPr>
            <w:tcW w:w="0" w:type="auto"/>
          </w:tcPr>
          <w:p w:rsidR="00033187" w:rsidRDefault="00033187" w:rsidP="00CB6EC6">
            <w:pPr>
              <w:keepNext/>
              <w:jc w:val="center"/>
            </w:pPr>
          </w:p>
        </w:tc>
        <w:tc>
          <w:tcPr>
            <w:tcW w:w="0" w:type="auto"/>
            <w:tcBorders>
              <w:top w:val="single" w:sz="2" w:space="0" w:color="auto"/>
            </w:tcBorders>
          </w:tcPr>
          <w:p w:rsidR="00033187" w:rsidRDefault="00033187" w:rsidP="00CB6EC6">
            <w:pPr>
              <w:keepNext/>
              <w:jc w:val="center"/>
            </w:pPr>
            <w:r>
              <w:t>r</w:t>
            </w:r>
            <w:r w:rsidRPr="00FE337A">
              <w:rPr>
                <w:vertAlign w:val="subscript"/>
              </w:rPr>
              <w:t>e</w:t>
            </w:r>
            <w:r>
              <w:t xml:space="preserve"> r</w:t>
            </w:r>
            <w:r w:rsidR="0080711D">
              <w:rPr>
                <w:vertAlign w:val="subscript"/>
              </w:rPr>
              <w:t>L</w:t>
            </w:r>
          </w:p>
        </w:tc>
      </w:tr>
    </w:tbl>
    <w:p w:rsidR="00033187" w:rsidRDefault="00033187" w:rsidP="00337FDD"/>
    <w:p w:rsidR="00337FDD" w:rsidRDefault="009B5AC2" w:rsidP="009B5AC2">
      <w:pPr>
        <w:pStyle w:val="BodyText"/>
      </w:pPr>
      <w:r>
        <w:t>This</w:t>
      </w:r>
      <w:r w:rsidR="00337FDD">
        <w:t xml:space="preserve"> leads to t</w:t>
      </w:r>
      <w:r w:rsidR="00337FDD" w:rsidRPr="000C7491">
        <w:t xml:space="preserve">he </w:t>
      </w:r>
      <w:r w:rsidR="00CA5E22" w:rsidRPr="000C7491">
        <w:t xml:space="preserve">previously stated </w:t>
      </w:r>
      <w:r w:rsidR="005757B9" w:rsidRPr="000C7491">
        <w:t>imp</w:t>
      </w:r>
      <w:r w:rsidR="005757B9">
        <w:t xml:space="preserve">lied </w:t>
      </w:r>
      <w:r w:rsidR="00A5169F">
        <w:t>return</w:t>
      </w:r>
      <w:r>
        <w:t xml:space="preserve"> formula:</w:t>
      </w:r>
    </w:p>
    <w:tbl>
      <w:tblPr>
        <w:tblW w:w="0" w:type="auto"/>
        <w:shd w:val="clear" w:color="auto" w:fill="CCECFF"/>
        <w:tblCellMar>
          <w:left w:w="0" w:type="dxa"/>
          <w:right w:w="0" w:type="dxa"/>
        </w:tblCellMar>
        <w:tblLook w:val="01E0" w:firstRow="1" w:lastRow="1" w:firstColumn="1" w:lastColumn="1" w:noHBand="0" w:noVBand="0"/>
      </w:tblPr>
      <w:tblGrid>
        <w:gridCol w:w="425"/>
        <w:gridCol w:w="1928"/>
      </w:tblGrid>
      <w:tr w:rsidR="00033187" w:rsidTr="00B3056B">
        <w:trPr>
          <w:cantSplit/>
        </w:trPr>
        <w:tc>
          <w:tcPr>
            <w:tcW w:w="425" w:type="dxa"/>
            <w:vMerge w:val="restart"/>
            <w:shd w:val="clear" w:color="auto" w:fill="CCECFF"/>
            <w:vAlign w:val="center"/>
          </w:tcPr>
          <w:p w:rsidR="00033187" w:rsidRPr="00FE337A" w:rsidRDefault="00033187" w:rsidP="00CB6EC6">
            <w:pPr>
              <w:keepNext/>
              <w:jc w:val="center"/>
            </w:pPr>
            <w:r>
              <w:t>r</w:t>
            </w:r>
            <w:r w:rsidRPr="00607345">
              <w:rPr>
                <w:vertAlign w:val="subscript"/>
              </w:rPr>
              <w:t>e</w:t>
            </w:r>
            <w:r>
              <w:t xml:space="preserve"> =</w:t>
            </w:r>
          </w:p>
        </w:tc>
        <w:tc>
          <w:tcPr>
            <w:tcW w:w="1928" w:type="dxa"/>
            <w:tcBorders>
              <w:bottom w:val="single" w:sz="2" w:space="0" w:color="auto"/>
            </w:tcBorders>
            <w:shd w:val="clear" w:color="auto" w:fill="CCECFF"/>
            <w:vAlign w:val="center"/>
          </w:tcPr>
          <w:p w:rsidR="00033187" w:rsidRPr="00AC433B" w:rsidRDefault="00033187" w:rsidP="00CB6EC6">
            <w:pPr>
              <w:keepNext/>
              <w:jc w:val="center"/>
            </w:pPr>
            <w:r>
              <w:t>(e</w:t>
            </w:r>
            <w:r w:rsidRPr="00AC433B">
              <w:rPr>
                <w:vertAlign w:val="subscript"/>
              </w:rPr>
              <w:t>2</w:t>
            </w:r>
            <w:r>
              <w:rPr>
                <w:vertAlign w:val="subscript"/>
              </w:rPr>
              <w:t xml:space="preserve"> </w:t>
            </w:r>
            <w:r>
              <w:t>- e</w:t>
            </w:r>
            <w:r w:rsidRPr="00AC433B">
              <w:rPr>
                <w:vertAlign w:val="subscript"/>
              </w:rPr>
              <w:t>1</w:t>
            </w:r>
            <w:r>
              <w:t>)/e</w:t>
            </w:r>
            <w:r w:rsidRPr="00AC433B">
              <w:rPr>
                <w:vertAlign w:val="subscript"/>
              </w:rPr>
              <w:t>1</w:t>
            </w:r>
            <w:r>
              <w:t>+ r</w:t>
            </w:r>
            <w:r w:rsidR="0080711D">
              <w:rPr>
                <w:vertAlign w:val="subscript"/>
              </w:rPr>
              <w:t>L</w:t>
            </w:r>
          </w:p>
        </w:tc>
      </w:tr>
      <w:tr w:rsidR="00033187" w:rsidTr="00B3056B">
        <w:trPr>
          <w:cantSplit/>
        </w:trPr>
        <w:tc>
          <w:tcPr>
            <w:tcW w:w="425" w:type="dxa"/>
            <w:vMerge/>
            <w:shd w:val="clear" w:color="auto" w:fill="CCECFF"/>
            <w:vAlign w:val="center"/>
          </w:tcPr>
          <w:p w:rsidR="00033187" w:rsidRDefault="00033187" w:rsidP="00CB6EC6">
            <w:pPr>
              <w:keepNext/>
              <w:jc w:val="center"/>
            </w:pPr>
          </w:p>
        </w:tc>
        <w:tc>
          <w:tcPr>
            <w:tcW w:w="1928" w:type="dxa"/>
            <w:tcBorders>
              <w:top w:val="single" w:sz="2" w:space="0" w:color="auto"/>
            </w:tcBorders>
            <w:shd w:val="clear" w:color="auto" w:fill="CCECFF"/>
            <w:vAlign w:val="center"/>
          </w:tcPr>
          <w:p w:rsidR="00033187" w:rsidRDefault="00033187" w:rsidP="00CB6EC6">
            <w:pPr>
              <w:keepNext/>
              <w:jc w:val="center"/>
            </w:pPr>
            <w:r>
              <w:t>(r</w:t>
            </w:r>
            <w:r w:rsidR="0080711D">
              <w:rPr>
                <w:vertAlign w:val="subscript"/>
              </w:rPr>
              <w:t>L</w:t>
            </w:r>
            <w:r>
              <w:t>P</w:t>
            </w:r>
            <w:r w:rsidRPr="00AC433B">
              <w:rPr>
                <w:vertAlign w:val="subscript"/>
              </w:rPr>
              <w:t>0</w:t>
            </w:r>
            <w:r>
              <w:t>/e</w:t>
            </w:r>
            <w:r w:rsidRPr="00AC433B">
              <w:rPr>
                <w:vertAlign w:val="subscript"/>
              </w:rPr>
              <w:t>1</w:t>
            </w:r>
            <w:r w:rsidR="008C7BAF">
              <w:t xml:space="preserve"> </w:t>
            </w:r>
            <w:r>
              <w:t>+</w:t>
            </w:r>
            <w:r w:rsidR="008C7BAF">
              <w:t xml:space="preserve"> </w:t>
            </w:r>
            <w:r>
              <w:t>1 – d</w:t>
            </w:r>
            <w:r w:rsidRPr="00F1650E">
              <w:rPr>
                <w:vertAlign w:val="subscript"/>
              </w:rPr>
              <w:t>1</w:t>
            </w:r>
            <w:r>
              <w:t>/e</w:t>
            </w:r>
            <w:r w:rsidRPr="00AC433B">
              <w:rPr>
                <w:vertAlign w:val="subscript"/>
              </w:rPr>
              <w:t>1</w:t>
            </w:r>
            <w:r>
              <w:t>)</w:t>
            </w:r>
          </w:p>
        </w:tc>
      </w:tr>
    </w:tbl>
    <w:p w:rsidR="00AD096E" w:rsidRPr="00AD096E" w:rsidRDefault="00AD096E" w:rsidP="00AD096E"/>
    <w:p w:rsidR="00AD096E" w:rsidRDefault="00AD096E" w:rsidP="00782B78">
      <w:pPr>
        <w:pStyle w:val="BodyText"/>
      </w:pPr>
      <w:r w:rsidRPr="00AD096E">
        <w:t xml:space="preserve">As a benchmark, if </w:t>
      </w:r>
      <w:r>
        <w:t>P</w:t>
      </w:r>
      <w:r w:rsidRPr="00AD096E">
        <w:rPr>
          <w:vertAlign w:val="subscript"/>
        </w:rPr>
        <w:t>0</w:t>
      </w:r>
      <w:r>
        <w:t>/e</w:t>
      </w:r>
      <w:r w:rsidRPr="00AD096E">
        <w:rPr>
          <w:vertAlign w:val="subscript"/>
        </w:rPr>
        <w:t>1</w:t>
      </w:r>
      <w:r w:rsidRPr="00AD096E">
        <w:t xml:space="preserve"> </w:t>
      </w:r>
      <w:r>
        <w:t>= 1/r</w:t>
      </w:r>
      <w:r w:rsidRPr="00AD096E">
        <w:rPr>
          <w:vertAlign w:val="subscript"/>
        </w:rPr>
        <w:t>L</w:t>
      </w:r>
      <w:r>
        <w:t xml:space="preserve"> </w:t>
      </w:r>
      <w:r w:rsidRPr="00AD096E">
        <w:t>and the payout is zero, then r</w:t>
      </w:r>
      <w:r w:rsidRPr="00AD096E">
        <w:rPr>
          <w:vertAlign w:val="subscript"/>
        </w:rPr>
        <w:t>e</w:t>
      </w:r>
      <w:r w:rsidRPr="00AD096E">
        <w:t> </w:t>
      </w:r>
      <w:r>
        <w:t>is the</w:t>
      </w:r>
      <w:r w:rsidRPr="00AD096E">
        <w:t xml:space="preserve"> simple average of </w:t>
      </w:r>
      <w:r>
        <w:t>EPS growth and r</w:t>
      </w:r>
      <w:r w:rsidRPr="00AD096E">
        <w:rPr>
          <w:vertAlign w:val="subscript"/>
        </w:rPr>
        <w:t>L</w:t>
      </w:r>
      <w:r w:rsidRPr="00AD096E">
        <w:t>.</w:t>
      </w:r>
    </w:p>
    <w:p w:rsidR="003F6962" w:rsidRDefault="003F6962" w:rsidP="003F6962">
      <w:pPr>
        <w:pStyle w:val="Heading2"/>
      </w:pPr>
      <w:r>
        <w:t>Why EIR can deviate from zero</w:t>
      </w:r>
    </w:p>
    <w:p w:rsidR="003F6962" w:rsidRDefault="003F6962" w:rsidP="003F6962">
      <w:pPr>
        <w:pStyle w:val="BodyText"/>
      </w:pPr>
      <w:r>
        <w:t>Besides mispricing, EIR can deviate from zero for the following reasons:</w:t>
      </w:r>
    </w:p>
    <w:p w:rsidR="003F6962" w:rsidRDefault="003F6962" w:rsidP="003F6962">
      <w:pPr>
        <w:pStyle w:val="BodyText"/>
        <w:numPr>
          <w:ilvl w:val="0"/>
          <w:numId w:val="12"/>
        </w:numPr>
      </w:pPr>
      <w:r>
        <w:t xml:space="preserve">Analyst forecasts available on public web sites may be stale and subject to potential biases. Thus, the forecast can differ markedly from the market’s true but unobservable expectations. </w:t>
      </w:r>
      <w:r w:rsidR="00E01408">
        <w:t xml:space="preserve">Consider a firm that announces bad news that lowers the analyst forecasts and the stock price. Suppose it takes a few days for the analyst forecasts to be updated on public web sites. In those few days, the price will appear abnormally low relative to publicly available analyst forecasts and the EIR will appear to be </w:t>
      </w:r>
      <w:r w:rsidR="00751F78">
        <w:t>high</w:t>
      </w:r>
      <w:r w:rsidR="00E01408">
        <w:t>. If stale forecasts are the cause of high EIR, then a high EIR suggests downward revisions in forecasts</w:t>
      </w:r>
      <w:r>
        <w:t>, and vice versa. Thus, “if it looks too good to be true, it probably is not”.</w:t>
      </w:r>
    </w:p>
    <w:p w:rsidR="003F6962" w:rsidRDefault="00813D00" w:rsidP="003F6962">
      <w:pPr>
        <w:pStyle w:val="BodyText"/>
        <w:numPr>
          <w:ilvl w:val="0"/>
          <w:numId w:val="12"/>
        </w:numPr>
      </w:pPr>
      <w:r>
        <w:t xml:space="preserve">An extensive </w:t>
      </w:r>
      <w:r w:rsidR="003F6962">
        <w:t>literature addresses the validity of CAPM. Much of it is not supportive.</w:t>
      </w:r>
    </w:p>
    <w:p w:rsidR="003F6962" w:rsidRDefault="003F6962" w:rsidP="003F6962">
      <w:pPr>
        <w:pStyle w:val="BodyText"/>
        <w:numPr>
          <w:ilvl w:val="0"/>
          <w:numId w:val="12"/>
        </w:numPr>
      </w:pPr>
      <w:r>
        <w:t xml:space="preserve">The assumptions that derive IR may be questionable. </w:t>
      </w:r>
    </w:p>
    <w:p w:rsidR="003F6962" w:rsidRDefault="003F6962" w:rsidP="003F6962">
      <w:pPr>
        <w:pStyle w:val="BodyText"/>
        <w:numPr>
          <w:ilvl w:val="1"/>
          <w:numId w:val="12"/>
        </w:numPr>
      </w:pPr>
      <w:r>
        <w:t>Optional point: For example, the e</w:t>
      </w:r>
      <w:r w:rsidRPr="000367FE">
        <w:t xml:space="preserve">stimated pattern of growth </w:t>
      </w:r>
      <w:r>
        <w:t xml:space="preserve">may </w:t>
      </w:r>
      <w:r w:rsidRPr="000367FE">
        <w:t xml:space="preserve">not </w:t>
      </w:r>
      <w:r>
        <w:t xml:space="preserve">be </w:t>
      </w:r>
      <w:r w:rsidRPr="000367FE">
        <w:t>correct</w:t>
      </w:r>
      <w:r w:rsidR="00E9409F">
        <w:t>.</w:t>
      </w:r>
      <w:r w:rsidRPr="000367FE">
        <w:t xml:space="preserve"> In the OJ formula, the perpetual growth also defines the rate at which the short-term growth decays to perpetual growth. That is, the model does not require estimates of persistence of growth. This is an advantage and a disadvantage. The advantage is that the model does not require subjective estimates of persistence. Inputting such subjective estimates will defeat the purpose of using these metrics as screens. However, the model also eliminates a degree of freedom. The market may indeed view that firms differ in the persistence of their growth.</w:t>
      </w:r>
    </w:p>
    <w:p w:rsidR="003F6962" w:rsidRDefault="003F6962" w:rsidP="003F6962">
      <w:pPr>
        <w:pStyle w:val="Heading2"/>
      </w:pPr>
      <w:r>
        <w:t>A variation of our metric: Adjusting for analyst over-optimism</w:t>
      </w:r>
    </w:p>
    <w:p w:rsidR="003F6962" w:rsidRPr="00AD096E" w:rsidRDefault="003F6962" w:rsidP="00782B78">
      <w:pPr>
        <w:pStyle w:val="BodyText"/>
      </w:pPr>
      <w:r>
        <w:t>Analysts’ expectations of earnings growth may be too optimistic because of unrealistic expectations of margin expansion. To strip out the effect of unrealistic margin expansion, we allow earnings growth to be replaced by sales growth using the drop down box. [VAL3 spreadsheet addresses the issue of adjusting for analyst biases.]</w:t>
      </w:r>
    </w:p>
    <w:p w:rsidR="003564A5" w:rsidRDefault="003564A5" w:rsidP="001A1A85">
      <w:pPr>
        <w:pStyle w:val="Heading1"/>
      </w:pPr>
      <w:r>
        <w:t xml:space="preserve">Why the </w:t>
      </w:r>
      <w:r w:rsidR="00B243E6">
        <w:t xml:space="preserve">implied </w:t>
      </w:r>
      <w:r>
        <w:t xml:space="preserve">return and required </w:t>
      </w:r>
      <w:r w:rsidR="00B55D37">
        <w:t>return</w:t>
      </w:r>
      <w:r>
        <w:t xml:space="preserve"> correlate</w:t>
      </w:r>
    </w:p>
    <w:p w:rsidR="00B71A32" w:rsidRDefault="002269C7" w:rsidP="002269C7">
      <w:pPr>
        <w:pStyle w:val="BodyText"/>
      </w:pPr>
      <w:r>
        <w:t xml:space="preserve">A zero </w:t>
      </w:r>
      <w:r w:rsidR="00BC43F0">
        <w:t xml:space="preserve">or negative </w:t>
      </w:r>
      <w:r>
        <w:t xml:space="preserve">correlation between the </w:t>
      </w:r>
      <w:r w:rsidR="00A262C0">
        <w:t>implied return (IR)</w:t>
      </w:r>
      <w:r>
        <w:t xml:space="preserve"> and </w:t>
      </w:r>
      <w:r w:rsidR="00BA6A4A">
        <w:t xml:space="preserve">the required return </w:t>
      </w:r>
      <w:r w:rsidR="00A262C0">
        <w:t xml:space="preserve">(RR) </w:t>
      </w:r>
      <w:r w:rsidR="00BA6A4A">
        <w:t xml:space="preserve">would cause a </w:t>
      </w:r>
      <w:r>
        <w:t xml:space="preserve">large variance in </w:t>
      </w:r>
      <w:r w:rsidR="00A262C0">
        <w:t>their difference (</w:t>
      </w:r>
      <w:r w:rsidR="00757B7B">
        <w:t>EIR</w:t>
      </w:r>
      <w:r w:rsidR="00A262C0">
        <w:t>)</w:t>
      </w:r>
      <w:r>
        <w:t>.</w:t>
      </w:r>
      <w:r w:rsidR="00182452">
        <w:t xml:space="preserve"> </w:t>
      </w:r>
      <w:r>
        <w:t xml:space="preserve">It </w:t>
      </w:r>
      <w:r w:rsidR="00D0535F">
        <w:t>would suggest</w:t>
      </w:r>
      <w:r>
        <w:t xml:space="preserve"> that </w:t>
      </w:r>
      <w:r w:rsidR="00A5169F">
        <w:t>IR</w:t>
      </w:r>
      <w:r w:rsidR="00A84F04">
        <w:t xml:space="preserve"> </w:t>
      </w:r>
      <w:r w:rsidR="00A262C0">
        <w:t xml:space="preserve">measures </w:t>
      </w:r>
      <w:r w:rsidR="00A84F04">
        <w:t>expected returns</w:t>
      </w:r>
      <w:r w:rsidR="00A262C0">
        <w:t xml:space="preserve"> poorly</w:t>
      </w:r>
      <w:r w:rsidR="0021132B">
        <w:t>,</w:t>
      </w:r>
      <w:r w:rsidR="00A84F04">
        <w:t xml:space="preserve"> or </w:t>
      </w:r>
      <w:r>
        <w:t>CAP</w:t>
      </w:r>
      <w:r w:rsidR="00A84F04">
        <w:t xml:space="preserve">M </w:t>
      </w:r>
      <w:r w:rsidR="00A262C0">
        <w:t xml:space="preserve">measures </w:t>
      </w:r>
      <w:r w:rsidR="00A84F04">
        <w:t>risk</w:t>
      </w:r>
      <w:r w:rsidR="00A262C0">
        <w:t xml:space="preserve"> poorly</w:t>
      </w:r>
      <w:r w:rsidR="0094461D">
        <w:t>, or both</w:t>
      </w:r>
      <w:r>
        <w:t>.</w:t>
      </w:r>
      <w:r w:rsidR="00182452">
        <w:t xml:space="preserve"> </w:t>
      </w:r>
      <w:r w:rsidR="00D0535F">
        <w:t xml:space="preserve">However, </w:t>
      </w:r>
      <w:r w:rsidR="00A5169F">
        <w:t>IR</w:t>
      </w:r>
      <w:r w:rsidR="00D0535F">
        <w:t xml:space="preserve"> and </w:t>
      </w:r>
      <w:r w:rsidR="00A262C0">
        <w:t xml:space="preserve">RR </w:t>
      </w:r>
      <w:r w:rsidR="00D0535F">
        <w:t xml:space="preserve">are </w:t>
      </w:r>
      <w:r w:rsidR="00A262C0">
        <w:t xml:space="preserve">positively </w:t>
      </w:r>
      <w:r w:rsidR="00D0535F">
        <w:t xml:space="preserve">correlated </w:t>
      </w:r>
      <w:r w:rsidR="00D01C76" w:rsidRPr="005D610A">
        <w:t>due to</w:t>
      </w:r>
      <w:r w:rsidR="00D01C76">
        <w:t xml:space="preserve"> </w:t>
      </w:r>
      <w:r w:rsidR="00D0535F">
        <w:t xml:space="preserve">two </w:t>
      </w:r>
      <w:r w:rsidR="0094461D">
        <w:t>reasons</w:t>
      </w:r>
      <w:r w:rsidR="00D0535F">
        <w:t xml:space="preserve">. </w:t>
      </w:r>
      <w:r>
        <w:t xml:space="preserve"> </w:t>
      </w:r>
    </w:p>
    <w:p w:rsidR="00D01C76" w:rsidRPr="005D610A" w:rsidRDefault="005D610A" w:rsidP="002269C7">
      <w:pPr>
        <w:pStyle w:val="BodyText"/>
      </w:pPr>
      <w:r>
        <w:t>First, growth and r</w:t>
      </w:r>
      <w:r w:rsidRPr="005D610A">
        <w:rPr>
          <w:vertAlign w:val="subscript"/>
        </w:rPr>
        <w:t>e</w:t>
      </w:r>
      <w:r w:rsidR="00D01C76" w:rsidRPr="005D610A">
        <w:t xml:space="preserve"> correlate positively. To</w:t>
      </w:r>
      <w:r>
        <w:t xml:space="preserve"> appreciate this point, note the following:</w:t>
      </w:r>
    </w:p>
    <w:p w:rsidR="00C27E82" w:rsidRDefault="00C27E82" w:rsidP="00C27E82">
      <w:pPr>
        <w:pStyle w:val="BodyText"/>
        <w:numPr>
          <w:ilvl w:val="0"/>
          <w:numId w:val="12"/>
        </w:numPr>
      </w:pPr>
      <w:r>
        <w:t xml:space="preserve">Growth is in the numerator of the </w:t>
      </w:r>
      <w:r w:rsidR="00A5169F">
        <w:t>IR</w:t>
      </w:r>
      <w:r>
        <w:t xml:space="preserve"> formula, which implies a perfect correlation if one holds the denominator constant.</w:t>
      </w:r>
    </w:p>
    <w:p w:rsidR="00B71A32" w:rsidRDefault="00DC3057" w:rsidP="006D6537">
      <w:pPr>
        <w:pStyle w:val="BodyText"/>
        <w:numPr>
          <w:ilvl w:val="0"/>
          <w:numId w:val="12"/>
        </w:numPr>
      </w:pPr>
      <w:r>
        <w:t>T</w:t>
      </w:r>
      <w:r w:rsidR="00C27E82">
        <w:t xml:space="preserve">he denominator </w:t>
      </w:r>
      <w:r>
        <w:t>of</w:t>
      </w:r>
      <w:r w:rsidR="00C27E82">
        <w:t xml:space="preserve"> </w:t>
      </w:r>
      <w:r w:rsidR="00A5169F">
        <w:t>IR</w:t>
      </w:r>
      <w:r w:rsidR="001806DE">
        <w:t xml:space="preserve"> </w:t>
      </w:r>
      <w:r w:rsidR="00C27E82">
        <w:t xml:space="preserve">has a positive correlation with the numerator. </w:t>
      </w:r>
      <w:r>
        <w:t>T</w:t>
      </w:r>
      <w:r w:rsidR="00C27E82">
        <w:t xml:space="preserve">his could </w:t>
      </w:r>
      <w:r w:rsidR="00E47859">
        <w:t>lead to</w:t>
      </w:r>
      <w:r>
        <w:t xml:space="preserve"> </w:t>
      </w:r>
      <w:r w:rsidR="00C27E82">
        <w:t xml:space="preserve">a negative correlation between growth and </w:t>
      </w:r>
      <w:r w:rsidR="00A5169F">
        <w:t>IR</w:t>
      </w:r>
      <w:r w:rsidR="00C27E82">
        <w:t xml:space="preserve">. </w:t>
      </w:r>
      <w:r w:rsidR="00033E8B">
        <w:t>However</w:t>
      </w:r>
      <w:r w:rsidR="00C27E82">
        <w:t xml:space="preserve">, </w:t>
      </w:r>
      <w:r w:rsidR="004E2420">
        <w:t>empirically, the</w:t>
      </w:r>
      <w:r w:rsidR="00C27E82">
        <w:t xml:space="preserve"> denominator effect is too weak</w:t>
      </w:r>
      <w:r w:rsidR="004E2420">
        <w:t xml:space="preserve"> to</w:t>
      </w:r>
      <w:r w:rsidR="00C27E82">
        <w:t xml:space="preserve"> override the numerator effect. (In other words, while the PE and the negative of the payout do indeed correlate positively wi</w:t>
      </w:r>
      <w:r>
        <w:t xml:space="preserve">th growth, these relations are usually </w:t>
      </w:r>
      <w:r w:rsidR="00C27E82">
        <w:t>modest.)</w:t>
      </w:r>
      <w:r w:rsidR="00B71A32">
        <w:t xml:space="preserve"> </w:t>
      </w:r>
    </w:p>
    <w:p w:rsidR="00D01C76" w:rsidRPr="005D610A" w:rsidRDefault="00D01C76" w:rsidP="00D01C76">
      <w:pPr>
        <w:pStyle w:val="BodyText"/>
      </w:pPr>
      <w:r w:rsidRPr="005D610A">
        <w:t xml:space="preserve">Second, even a cursory review of </w:t>
      </w:r>
      <w:r w:rsidR="00527A45">
        <w:t xml:space="preserve">empirical </w:t>
      </w:r>
      <w:r w:rsidRPr="005D610A">
        <w:t xml:space="preserve">data will show that high beta stocks are generally high growth stocks (sales as well as earnings). Low beta stocks </w:t>
      </w:r>
      <w:r w:rsidR="002C2A87" w:rsidRPr="005D610A">
        <w:t xml:space="preserve">(less than </w:t>
      </w:r>
      <w:r w:rsidR="003B4AA8">
        <w:t>0</w:t>
      </w:r>
      <w:r w:rsidR="002C2A87" w:rsidRPr="005D610A">
        <w:t>.7</w:t>
      </w:r>
      <w:r w:rsidRPr="005D610A">
        <w:t>, say) almost never have high growth.</w:t>
      </w:r>
    </w:p>
    <w:p w:rsidR="0021089D" w:rsidRPr="003B4AA8" w:rsidRDefault="002269C7" w:rsidP="0021089D">
      <w:pPr>
        <w:pStyle w:val="BodyText"/>
      </w:pPr>
      <w:r w:rsidRPr="003B4AA8">
        <w:t>To summarize, growth acts as a latent variable</w:t>
      </w:r>
      <w:r w:rsidR="00930A95" w:rsidRPr="003B4AA8">
        <w:t xml:space="preserve"> that makes </w:t>
      </w:r>
      <w:r w:rsidR="00A5169F" w:rsidRPr="003B4AA8">
        <w:t>IR</w:t>
      </w:r>
      <w:r w:rsidR="00930A95" w:rsidRPr="003B4AA8">
        <w:t xml:space="preserve"> correlate</w:t>
      </w:r>
      <w:r w:rsidRPr="003B4AA8">
        <w:t xml:space="preserve"> </w:t>
      </w:r>
      <w:r w:rsidR="0094461D" w:rsidRPr="003B4AA8">
        <w:t xml:space="preserve">positively </w:t>
      </w:r>
      <w:r w:rsidRPr="003B4AA8">
        <w:t>with</w:t>
      </w:r>
      <w:r w:rsidR="0094461D" w:rsidRPr="003B4AA8">
        <w:t xml:space="preserve"> RR</w:t>
      </w:r>
      <w:r w:rsidRPr="003B4AA8">
        <w:t>.</w:t>
      </w:r>
      <w:r w:rsidR="00D01C76" w:rsidRPr="003B4AA8">
        <w:t xml:space="preserve"> The extent of the correlation depends on the cross-sectional variance in the betas; the greater the variation, the greate</w:t>
      </w:r>
      <w:r w:rsidR="003B4AA8" w:rsidRPr="003B4AA8">
        <w:t>r the correlation.</w:t>
      </w:r>
    </w:p>
    <w:p w:rsidR="00C65445" w:rsidRDefault="00403EDE" w:rsidP="00C65445">
      <w:pPr>
        <w:pStyle w:val="Heading1"/>
      </w:pPr>
      <w:r>
        <w:t xml:space="preserve">Using </w:t>
      </w:r>
      <w:r w:rsidR="00DD6B9A">
        <w:t>EIR</w:t>
      </w:r>
    </w:p>
    <w:p w:rsidR="00C5382B" w:rsidRPr="00BE33CC" w:rsidRDefault="004A6CEC" w:rsidP="004656A4">
      <w:r>
        <w:t xml:space="preserve">EIR is not a sure signal of mispricing, but a screen to select firms for further examination. It </w:t>
      </w:r>
      <w:r w:rsidR="00BE33CC">
        <w:t xml:space="preserve">is based on </w:t>
      </w:r>
      <w:r w:rsidR="00127016">
        <w:t xml:space="preserve">limited but key </w:t>
      </w:r>
      <w:r w:rsidR="00BE33CC" w:rsidRPr="00BE33CC">
        <w:t>public</w:t>
      </w:r>
      <w:r w:rsidR="00697E7A">
        <w:t xml:space="preserve"> </w:t>
      </w:r>
      <w:r w:rsidR="00BE33CC" w:rsidRPr="00BE33CC">
        <w:t>information about each firm</w:t>
      </w:r>
      <w:r w:rsidR="00127016">
        <w:t xml:space="preserve"> – </w:t>
      </w:r>
      <w:r w:rsidR="005F31BE">
        <w:t>its</w:t>
      </w:r>
      <w:r w:rsidR="00127016">
        <w:t xml:space="preserve"> IR component incorporates </w:t>
      </w:r>
      <w:r w:rsidR="00127016" w:rsidRPr="00BE33CC">
        <w:t xml:space="preserve">price, earnings, </w:t>
      </w:r>
      <w:r w:rsidR="00127016">
        <w:t xml:space="preserve">short-term and </w:t>
      </w:r>
      <w:r w:rsidR="00127016" w:rsidRPr="00BE33CC">
        <w:t>long</w:t>
      </w:r>
      <w:r w:rsidR="00127016">
        <w:t>-</w:t>
      </w:r>
      <w:r w:rsidR="00127016" w:rsidRPr="00BE33CC">
        <w:t xml:space="preserve">term </w:t>
      </w:r>
      <w:r w:rsidR="00127016">
        <w:t xml:space="preserve">earnings </w:t>
      </w:r>
      <w:r w:rsidR="00127016" w:rsidRPr="00BE33CC">
        <w:t xml:space="preserve">growth, </w:t>
      </w:r>
      <w:r w:rsidR="00127016">
        <w:t>and the dividend payout, while the RR component incorporates risk.</w:t>
      </w:r>
      <w:r w:rsidR="00350AE5">
        <w:t xml:space="preserve"> </w:t>
      </w:r>
      <w:r>
        <w:t xml:space="preserve">We believe that these </w:t>
      </w:r>
      <w:r w:rsidR="00C5382B" w:rsidRPr="00BE33CC">
        <w:t>value attributes are compelling and comprehensive</w:t>
      </w:r>
      <w:r w:rsidR="00012051">
        <w:t xml:space="preserve">, and </w:t>
      </w:r>
      <w:r w:rsidR="005F31BE">
        <w:t xml:space="preserve">the EIR formula is </w:t>
      </w:r>
      <w:r w:rsidR="00C5382B" w:rsidRPr="00BE33CC">
        <w:t>intuitive.</w:t>
      </w:r>
      <w:r w:rsidR="005F31BE">
        <w:t xml:space="preserve"> However, </w:t>
      </w:r>
      <w:r>
        <w:t>EIR’s</w:t>
      </w:r>
      <w:r w:rsidR="005F31BE">
        <w:t xml:space="preserve"> real test is its success in pointing towards mispriced firms. </w:t>
      </w:r>
      <w:r>
        <w:t>No screening</w:t>
      </w:r>
      <w:r w:rsidR="005F31BE">
        <w:t xml:space="preserve"> tools can be useful forever because </w:t>
      </w:r>
      <w:r w:rsidR="00350AE5">
        <w:t xml:space="preserve">efficient markets tend to blunt all </w:t>
      </w:r>
      <w:r w:rsidR="005F31BE">
        <w:t xml:space="preserve">such </w:t>
      </w:r>
      <w:r w:rsidR="00350AE5">
        <w:t xml:space="preserve">tools </w:t>
      </w:r>
      <w:r w:rsidR="005F31BE">
        <w:t>over time.</w:t>
      </w:r>
      <w:r w:rsidR="00350AE5">
        <w:t xml:space="preserve"> </w:t>
      </w:r>
    </w:p>
    <w:sectPr w:rsidR="00C5382B" w:rsidRPr="00BE33CC" w:rsidSect="00465A10">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63D" w:rsidRDefault="004D263D">
      <w:r>
        <w:separator/>
      </w:r>
    </w:p>
  </w:endnote>
  <w:endnote w:type="continuationSeparator" w:id="0">
    <w:p w:rsidR="004D263D" w:rsidRDefault="004D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E" w:rsidRDefault="00403EDE" w:rsidP="00FD3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43E3">
      <w:rPr>
        <w:rStyle w:val="PageNumber"/>
        <w:noProof/>
      </w:rPr>
      <w:t>5</w:t>
    </w:r>
    <w:r>
      <w:rPr>
        <w:rStyle w:val="PageNumber"/>
      </w:rPr>
      <w:fldChar w:fldCharType="end"/>
    </w:r>
  </w:p>
  <w:p w:rsidR="00403EDE" w:rsidRDefault="00403EDE" w:rsidP="00FD3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E" w:rsidRPr="00F63309" w:rsidRDefault="00403EDE" w:rsidP="007D0F9D">
    <w:pPr>
      <w:pStyle w:val="Footer"/>
      <w:tabs>
        <w:tab w:val="clear" w:pos="4320"/>
      </w:tabs>
    </w:pPr>
    <w:r>
      <w:fldChar w:fldCharType="begin"/>
    </w:r>
    <w:r>
      <w:instrText xml:space="preserve"> DATE \@ "MMMM d, yyyy" </w:instrText>
    </w:r>
    <w:r>
      <w:fldChar w:fldCharType="separate"/>
    </w:r>
    <w:r w:rsidR="00724542">
      <w:rPr>
        <w:noProof/>
      </w:rPr>
      <w:t>September 3, 2016</w:t>
    </w:r>
    <w:r>
      <w:fldChar w:fldCharType="end"/>
    </w:r>
    <w:r>
      <w:t xml:space="preserve"> Visit </w:t>
    </w:r>
    <w:hyperlink r:id="rId1" w:history="1">
      <w:r w:rsidRPr="00744C6D">
        <w:rPr>
          <w:rStyle w:val="Hyperlink"/>
        </w:rPr>
        <w:t>http://www.godeohlson.com/</w:t>
      </w:r>
    </w:hyperlink>
    <w:r>
      <w:t xml:space="preserve"> for updates. </w:t>
    </w:r>
    <w:r>
      <w:tab/>
    </w:r>
    <w:r>
      <w:fldChar w:fldCharType="begin"/>
    </w:r>
    <w:r>
      <w:instrText xml:space="preserve"> PAGE </w:instrText>
    </w:r>
    <w:r>
      <w:fldChar w:fldCharType="separate"/>
    </w:r>
    <w:r w:rsidR="0072454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63D" w:rsidRDefault="004D263D">
      <w:r>
        <w:separator/>
      </w:r>
    </w:p>
  </w:footnote>
  <w:footnote w:type="continuationSeparator" w:id="0">
    <w:p w:rsidR="004D263D" w:rsidRDefault="004D2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E" w:rsidRDefault="00403EDE" w:rsidP="007D0F9D">
    <w:pPr>
      <w:pStyle w:val="Header"/>
      <w:tabs>
        <w:tab w:val="clear" w:pos="4320"/>
      </w:tabs>
    </w:pPr>
    <w:r>
      <w:t>Excess Implied Return (EIR)</w:t>
    </w:r>
    <w:r>
      <w:tab/>
    </w:r>
    <w:r>
      <w:rPr>
        <w:rStyle w:val="PageNumber"/>
      </w:rPr>
      <w:fldChar w:fldCharType="begin"/>
    </w:r>
    <w:r>
      <w:rPr>
        <w:rStyle w:val="PageNumber"/>
      </w:rPr>
      <w:instrText xml:space="preserve"> PAGE </w:instrText>
    </w:r>
    <w:r>
      <w:rPr>
        <w:rStyle w:val="PageNumber"/>
      </w:rPr>
      <w:fldChar w:fldCharType="separate"/>
    </w:r>
    <w:r w:rsidR="00724542">
      <w:rPr>
        <w:rStyle w:val="PageNumber"/>
        <w:noProof/>
      </w:rPr>
      <w:t>1</w:t>
    </w:r>
    <w:r>
      <w:rPr>
        <w:rStyle w:val="PageNumber"/>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55D"/>
    <w:multiLevelType w:val="multilevel"/>
    <w:tmpl w:val="8728A3A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 w15:restartNumberingAfterBreak="0">
    <w:nsid w:val="084863E3"/>
    <w:multiLevelType w:val="multilevel"/>
    <w:tmpl w:val="29529492"/>
    <w:numStyleLink w:val="ListBulleted"/>
  </w:abstractNum>
  <w:abstractNum w:abstractNumId="2" w15:restartNumberingAfterBreak="0">
    <w:nsid w:val="1A6D07FD"/>
    <w:multiLevelType w:val="multilevel"/>
    <w:tmpl w:val="95D6D198"/>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3" w15:restartNumberingAfterBreak="0">
    <w:nsid w:val="207F64A6"/>
    <w:multiLevelType w:val="hybridMultilevel"/>
    <w:tmpl w:val="EFA2E2FA"/>
    <w:lvl w:ilvl="0" w:tplc="49C8F9BC">
      <w:start w:val="1"/>
      <w:numFmt w:val="bullet"/>
      <w:pStyle w:val="Indentedlist"/>
      <w:lvlText w:val=""/>
      <w:lvlJc w:val="left"/>
      <w:pPr>
        <w:tabs>
          <w:tab w:val="num" w:pos="1008"/>
        </w:tabs>
        <w:ind w:left="1008"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D07C6"/>
    <w:multiLevelType w:val="multilevel"/>
    <w:tmpl w:val="9A4CBF2E"/>
    <w:styleLink w:val="ListOutlineChar"/>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B0F0EF9"/>
    <w:multiLevelType w:val="multilevel"/>
    <w:tmpl w:val="0ADC1FC8"/>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F866A96"/>
    <w:multiLevelType w:val="multilevel"/>
    <w:tmpl w:val="E24C27B4"/>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7" w15:restartNumberingAfterBreak="0">
    <w:nsid w:val="378A61FE"/>
    <w:multiLevelType w:val="multilevel"/>
    <w:tmpl w:val="E30E3590"/>
    <w:styleLink w:val="List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800"/>
        </w:tabs>
        <w:ind w:left="1800" w:hanging="792"/>
      </w:pPr>
      <w:rPr>
        <w:rFonts w:hint="default"/>
      </w:rPr>
    </w:lvl>
    <w:lvl w:ilvl="3">
      <w:start w:val="1"/>
      <w:numFmt w:val="decimal"/>
      <w:lvlText w:val="%1.%2.%3.%4."/>
      <w:lvlJc w:val="left"/>
      <w:pPr>
        <w:tabs>
          <w:tab w:val="num" w:pos="2736"/>
        </w:tabs>
        <w:ind w:left="2736" w:hanging="936"/>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C8A3413"/>
    <w:multiLevelType w:val="hybridMultilevel"/>
    <w:tmpl w:val="73B0B4EA"/>
    <w:lvl w:ilvl="0" w:tplc="21D65D86">
      <w:start w:val="1"/>
      <w:numFmt w:val="bullet"/>
      <w:pStyle w:val="List"/>
      <w:lvlText w:val=""/>
      <w:lvlJc w:val="left"/>
      <w:pPr>
        <w:tabs>
          <w:tab w:val="num" w:pos="504"/>
        </w:tabs>
        <w:ind w:left="504"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132E1"/>
    <w:multiLevelType w:val="multilevel"/>
    <w:tmpl w:val="0228F732"/>
    <w:styleLink w:val="ListMultiple-choiceChar"/>
    <w:lvl w:ilvl="0">
      <w:start w:val="1"/>
      <w:numFmt w:val="lowerLetter"/>
      <w:lvlText w:val="%1."/>
      <w:lvlJc w:val="left"/>
      <w:pPr>
        <w:tabs>
          <w:tab w:val="num" w:pos="1008"/>
        </w:tabs>
        <w:ind w:left="1008" w:hanging="504"/>
      </w:pPr>
      <w:rPr>
        <w:rFonts w:hint="default"/>
      </w:rPr>
    </w:lvl>
    <w:lvl w:ilvl="1">
      <w:start w:val="1"/>
      <w:numFmt w:val="upperLetter"/>
      <w:lvlText w:val="%2."/>
      <w:lvlJc w:val="left"/>
      <w:pPr>
        <w:tabs>
          <w:tab w:val="num" w:pos="1584"/>
        </w:tabs>
        <w:ind w:left="1224" w:firstLine="0"/>
      </w:pPr>
      <w:rPr>
        <w:rFonts w:hint="default"/>
      </w:rPr>
    </w:lvl>
    <w:lvl w:ilvl="2">
      <w:start w:val="1"/>
      <w:numFmt w:val="decimal"/>
      <w:lvlText w:val="%3."/>
      <w:lvlJc w:val="left"/>
      <w:pPr>
        <w:tabs>
          <w:tab w:val="num" w:pos="2304"/>
        </w:tabs>
        <w:ind w:left="1944" w:firstLine="0"/>
      </w:pPr>
      <w:rPr>
        <w:rFonts w:hint="default"/>
      </w:rPr>
    </w:lvl>
    <w:lvl w:ilvl="3">
      <w:start w:val="1"/>
      <w:numFmt w:val="lowerLetter"/>
      <w:lvlText w:val="%4)"/>
      <w:lvlJc w:val="left"/>
      <w:pPr>
        <w:tabs>
          <w:tab w:val="num" w:pos="3024"/>
        </w:tabs>
        <w:ind w:left="2664" w:firstLine="0"/>
      </w:pPr>
      <w:rPr>
        <w:rFonts w:hint="default"/>
      </w:rPr>
    </w:lvl>
    <w:lvl w:ilvl="4">
      <w:start w:val="1"/>
      <w:numFmt w:val="decimal"/>
      <w:lvlText w:val="(%5)"/>
      <w:lvlJc w:val="left"/>
      <w:pPr>
        <w:tabs>
          <w:tab w:val="num" w:pos="3744"/>
        </w:tabs>
        <w:ind w:left="3384" w:firstLine="0"/>
      </w:pPr>
      <w:rPr>
        <w:rFonts w:hint="default"/>
      </w:rPr>
    </w:lvl>
    <w:lvl w:ilvl="5">
      <w:start w:val="1"/>
      <w:numFmt w:val="lowerLetter"/>
      <w:lvlText w:val="(%6)"/>
      <w:lvlJc w:val="left"/>
      <w:pPr>
        <w:tabs>
          <w:tab w:val="num" w:pos="4464"/>
        </w:tabs>
        <w:ind w:left="4104" w:firstLine="0"/>
      </w:pPr>
      <w:rPr>
        <w:rFonts w:hint="default"/>
      </w:rPr>
    </w:lvl>
    <w:lvl w:ilvl="6">
      <w:start w:val="1"/>
      <w:numFmt w:val="lowerRoman"/>
      <w:lvlText w:val="(%7)"/>
      <w:lvlJc w:val="left"/>
      <w:pPr>
        <w:tabs>
          <w:tab w:val="num" w:pos="5184"/>
        </w:tabs>
        <w:ind w:left="4824" w:firstLine="0"/>
      </w:pPr>
      <w:rPr>
        <w:rFonts w:hint="default"/>
      </w:rPr>
    </w:lvl>
    <w:lvl w:ilvl="7">
      <w:start w:val="1"/>
      <w:numFmt w:val="lowerLetter"/>
      <w:lvlText w:val="(%8)"/>
      <w:lvlJc w:val="left"/>
      <w:pPr>
        <w:tabs>
          <w:tab w:val="num" w:pos="5904"/>
        </w:tabs>
        <w:ind w:left="5544" w:firstLine="0"/>
      </w:pPr>
      <w:rPr>
        <w:rFonts w:hint="default"/>
      </w:rPr>
    </w:lvl>
    <w:lvl w:ilvl="8">
      <w:start w:val="1"/>
      <w:numFmt w:val="lowerRoman"/>
      <w:lvlText w:val="(%9)"/>
      <w:lvlJc w:val="left"/>
      <w:pPr>
        <w:tabs>
          <w:tab w:val="num" w:pos="6624"/>
        </w:tabs>
        <w:ind w:left="6264" w:firstLine="0"/>
      </w:pPr>
      <w:rPr>
        <w:rFonts w:hint="default"/>
      </w:rPr>
    </w:lvl>
  </w:abstractNum>
  <w:abstractNum w:abstractNumId="10" w15:restartNumberingAfterBreak="0">
    <w:nsid w:val="45DF468C"/>
    <w:multiLevelType w:val="multilevel"/>
    <w:tmpl w:val="29529492"/>
    <w:numStyleLink w:val="ListBulleted"/>
  </w:abstractNum>
  <w:abstractNum w:abstractNumId="11" w15:restartNumberingAfterBreak="0">
    <w:nsid w:val="47705053"/>
    <w:multiLevelType w:val="multilevel"/>
    <w:tmpl w:val="0BDE7F6A"/>
    <w:numStyleLink w:val="StyleOutlinenumbered"/>
  </w:abstractNum>
  <w:abstractNum w:abstractNumId="12" w15:restartNumberingAfterBreak="0">
    <w:nsid w:val="51223E45"/>
    <w:multiLevelType w:val="multilevel"/>
    <w:tmpl w:val="29529492"/>
    <w:numStyleLink w:val="ListBulleted"/>
  </w:abstractNum>
  <w:abstractNum w:abstractNumId="13" w15:restartNumberingAfterBreak="0">
    <w:nsid w:val="55DF06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83D7305"/>
    <w:multiLevelType w:val="multilevel"/>
    <w:tmpl w:val="0BDE7F6A"/>
    <w:numStyleLink w:val="StyleOutlinenumbered"/>
  </w:abstractNum>
  <w:abstractNum w:abstractNumId="15" w15:restartNumberingAfterBreak="0">
    <w:nsid w:val="598A3D4F"/>
    <w:multiLevelType w:val="multilevel"/>
    <w:tmpl w:val="0BDE7F6A"/>
    <w:numStyleLink w:val="StyleOutlinenumbered"/>
  </w:abstractNum>
  <w:abstractNum w:abstractNumId="16" w15:restartNumberingAfterBreak="0">
    <w:nsid w:val="6025499B"/>
    <w:multiLevelType w:val="multilevel"/>
    <w:tmpl w:val="6CB026C4"/>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17" w15:restartNumberingAfterBreak="0">
    <w:nsid w:val="658C08DB"/>
    <w:multiLevelType w:val="multilevel"/>
    <w:tmpl w:val="0BDE7F6A"/>
    <w:styleLink w:val="Style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6E070B3"/>
    <w:multiLevelType w:val="multilevel"/>
    <w:tmpl w:val="29529492"/>
    <w:styleLink w:val="ListBulleted"/>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D048A3"/>
    <w:multiLevelType w:val="multilevel"/>
    <w:tmpl w:val="22883D72"/>
    <w:styleLink w:val="ListBulletedIndented"/>
    <w:lvl w:ilvl="0">
      <w:start w:val="1"/>
      <w:numFmt w:val="bullet"/>
      <w:lvlText w:val=""/>
      <w:lvlJc w:val="left"/>
      <w:pPr>
        <w:tabs>
          <w:tab w:val="num" w:pos="1008"/>
        </w:tabs>
        <w:ind w:left="1008" w:hanging="504"/>
      </w:pPr>
      <w:rPr>
        <w:rFonts w:ascii="Wingdings" w:hAnsi="Wingdings" w:hint="default"/>
      </w:rPr>
    </w:lvl>
    <w:lvl w:ilvl="1">
      <w:start w:val="1"/>
      <w:numFmt w:val="bullet"/>
      <w:lvlText w:val=""/>
      <w:lvlJc w:val="left"/>
      <w:pPr>
        <w:tabs>
          <w:tab w:val="num" w:pos="1512"/>
        </w:tabs>
        <w:ind w:left="1512" w:hanging="504"/>
      </w:pPr>
      <w:rPr>
        <w:rFonts w:ascii="Wingdings" w:hAnsi="Wingdings" w:hint="default"/>
      </w:rPr>
    </w:lvl>
    <w:lvl w:ilvl="2">
      <w:start w:val="1"/>
      <w:numFmt w:val="bullet"/>
      <w:lvlText w:val=""/>
      <w:lvlJc w:val="left"/>
      <w:pPr>
        <w:tabs>
          <w:tab w:val="num" w:pos="2016"/>
        </w:tabs>
        <w:ind w:left="2016" w:hanging="504"/>
      </w:pPr>
      <w:rPr>
        <w:rFonts w:ascii="Wingdings" w:hAnsi="Wingdings" w:hint="default"/>
      </w:rPr>
    </w:lvl>
    <w:lvl w:ilvl="3">
      <w:start w:val="1"/>
      <w:numFmt w:val="bullet"/>
      <w:lvlText w:val=""/>
      <w:lvlJc w:val="left"/>
      <w:pPr>
        <w:tabs>
          <w:tab w:val="num" w:pos="2520"/>
        </w:tabs>
        <w:ind w:left="2520" w:hanging="504"/>
      </w:pPr>
      <w:rPr>
        <w:rFonts w:ascii="Wingdings" w:hAnsi="Wingdings" w:hint="default"/>
      </w:rPr>
    </w:lvl>
    <w:lvl w:ilvl="4">
      <w:start w:val="1"/>
      <w:numFmt w:val="bullet"/>
      <w:lvlText w:val=""/>
      <w:lvlJc w:val="left"/>
      <w:pPr>
        <w:tabs>
          <w:tab w:val="num" w:pos="2304"/>
        </w:tabs>
        <w:ind w:left="2304" w:hanging="360"/>
      </w:pPr>
      <w:rPr>
        <w:rFonts w:ascii="Symbol" w:hAnsi="Symbol" w:hint="default"/>
      </w:rPr>
    </w:lvl>
    <w:lvl w:ilvl="5">
      <w:start w:val="1"/>
      <w:numFmt w:val="bullet"/>
      <w:lvlText w:val=""/>
      <w:lvlJc w:val="left"/>
      <w:pPr>
        <w:tabs>
          <w:tab w:val="num" w:pos="2664"/>
        </w:tabs>
        <w:ind w:left="2664" w:hanging="360"/>
      </w:pPr>
      <w:rPr>
        <w:rFonts w:ascii="Wingdings" w:hAnsi="Wingdings" w:hint="default"/>
      </w:rPr>
    </w:lvl>
    <w:lvl w:ilvl="6">
      <w:start w:val="1"/>
      <w:numFmt w:val="bullet"/>
      <w:lvlText w:val=""/>
      <w:lvlJc w:val="left"/>
      <w:pPr>
        <w:tabs>
          <w:tab w:val="num" w:pos="3024"/>
        </w:tabs>
        <w:ind w:left="3024" w:hanging="360"/>
      </w:pPr>
      <w:rPr>
        <w:rFonts w:ascii="Wingdings" w:hAnsi="Wingdings" w:hint="default"/>
      </w:rPr>
    </w:lvl>
    <w:lvl w:ilvl="7">
      <w:start w:val="1"/>
      <w:numFmt w:val="bullet"/>
      <w:lvlText w:val=""/>
      <w:lvlJc w:val="left"/>
      <w:pPr>
        <w:tabs>
          <w:tab w:val="num" w:pos="3384"/>
        </w:tabs>
        <w:ind w:left="3384" w:hanging="360"/>
      </w:pPr>
      <w:rPr>
        <w:rFonts w:ascii="Symbol" w:hAnsi="Symbol" w:hint="default"/>
      </w:rPr>
    </w:lvl>
    <w:lvl w:ilvl="8">
      <w:start w:val="1"/>
      <w:numFmt w:val="bullet"/>
      <w:lvlText w:val=""/>
      <w:lvlJc w:val="left"/>
      <w:pPr>
        <w:tabs>
          <w:tab w:val="num" w:pos="3744"/>
        </w:tabs>
        <w:ind w:left="3744" w:hanging="360"/>
      </w:pPr>
      <w:rPr>
        <w:rFonts w:ascii="Symbol" w:hAnsi="Symbol" w:hint="default"/>
      </w:rPr>
    </w:lvl>
  </w:abstractNum>
  <w:abstractNum w:abstractNumId="20" w15:restartNumberingAfterBreak="0">
    <w:nsid w:val="6D7E59F0"/>
    <w:multiLevelType w:val="multilevel"/>
    <w:tmpl w:val="50EE0E1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648"/>
        </w:tabs>
        <w:ind w:left="648" w:hanging="648"/>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1DB3044"/>
    <w:multiLevelType w:val="multilevel"/>
    <w:tmpl w:val="9A4CBF2E"/>
    <w:styleLink w:val="StyleCharOutlinenumbered"/>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78A35D45"/>
    <w:multiLevelType w:val="multilevel"/>
    <w:tmpl w:val="0BDE7F6A"/>
    <w:numStyleLink w:val="StyleOutlinenumbered"/>
  </w:abstractNum>
  <w:abstractNum w:abstractNumId="23" w15:restartNumberingAfterBreak="0">
    <w:nsid w:val="7E0024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8"/>
  </w:num>
  <w:num w:numId="3">
    <w:abstractNumId w:val="19"/>
  </w:num>
  <w:num w:numId="4">
    <w:abstractNumId w:val="9"/>
  </w:num>
  <w:num w:numId="5">
    <w:abstractNumId w:val="4"/>
  </w:num>
  <w:num w:numId="6">
    <w:abstractNumId w:val="7"/>
  </w:num>
  <w:num w:numId="7">
    <w:abstractNumId w:val="3"/>
  </w:num>
  <w:num w:numId="8">
    <w:abstractNumId w:val="8"/>
  </w:num>
  <w:num w:numId="9">
    <w:abstractNumId w:val="17"/>
  </w:num>
  <w:num w:numId="10">
    <w:abstractNumId w:val="21"/>
  </w:num>
  <w:num w:numId="11">
    <w:abstractNumId w:val="1"/>
  </w:num>
  <w:num w:numId="12">
    <w:abstractNumId w:val="10"/>
  </w:num>
  <w:num w:numId="13">
    <w:abstractNumId w:val="12"/>
  </w:num>
  <w:num w:numId="14">
    <w:abstractNumId w:val="0"/>
  </w:num>
  <w:num w:numId="15">
    <w:abstractNumId w:val="2"/>
  </w:num>
  <w:num w:numId="16">
    <w:abstractNumId w:val="5"/>
  </w:num>
  <w:num w:numId="17">
    <w:abstractNumId w:val="16"/>
  </w:num>
  <w:num w:numId="18">
    <w:abstractNumId w:val="11"/>
  </w:num>
  <w:num w:numId="19">
    <w:abstractNumId w:val="6"/>
  </w:num>
  <w:num w:numId="20">
    <w:abstractNumId w:val="22"/>
  </w:num>
  <w:num w:numId="21">
    <w:abstractNumId w:val="14"/>
  </w:num>
  <w:num w:numId="22">
    <w:abstractNumId w:val="15"/>
  </w:num>
  <w:num w:numId="23">
    <w:abstractNumId w:val="23"/>
  </w:num>
  <w:num w:numId="2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ccecff"/>
    </o:shapedefaults>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E6"/>
    <w:rsid w:val="00004EAC"/>
    <w:rsid w:val="000114FE"/>
    <w:rsid w:val="00011A69"/>
    <w:rsid w:val="00012051"/>
    <w:rsid w:val="000142EC"/>
    <w:rsid w:val="0002053F"/>
    <w:rsid w:val="00025A22"/>
    <w:rsid w:val="00025CD0"/>
    <w:rsid w:val="00033187"/>
    <w:rsid w:val="00033E8B"/>
    <w:rsid w:val="000367FE"/>
    <w:rsid w:val="000370A9"/>
    <w:rsid w:val="00037A14"/>
    <w:rsid w:val="000427D5"/>
    <w:rsid w:val="0004606B"/>
    <w:rsid w:val="00047DFF"/>
    <w:rsid w:val="0005232F"/>
    <w:rsid w:val="000555E6"/>
    <w:rsid w:val="00060CCF"/>
    <w:rsid w:val="00060D6E"/>
    <w:rsid w:val="00063E4C"/>
    <w:rsid w:val="00067B18"/>
    <w:rsid w:val="0007534C"/>
    <w:rsid w:val="00077BD3"/>
    <w:rsid w:val="0008005D"/>
    <w:rsid w:val="0008022D"/>
    <w:rsid w:val="0008306C"/>
    <w:rsid w:val="0009303A"/>
    <w:rsid w:val="00093575"/>
    <w:rsid w:val="000940B5"/>
    <w:rsid w:val="000967A5"/>
    <w:rsid w:val="00096C84"/>
    <w:rsid w:val="000979CB"/>
    <w:rsid w:val="000A17AA"/>
    <w:rsid w:val="000A1973"/>
    <w:rsid w:val="000A1CA1"/>
    <w:rsid w:val="000A3412"/>
    <w:rsid w:val="000A3B64"/>
    <w:rsid w:val="000A7E6D"/>
    <w:rsid w:val="000B1D5C"/>
    <w:rsid w:val="000B4C43"/>
    <w:rsid w:val="000B5817"/>
    <w:rsid w:val="000C1146"/>
    <w:rsid w:val="000C15DF"/>
    <w:rsid w:val="000C7491"/>
    <w:rsid w:val="000D084C"/>
    <w:rsid w:val="000D0CF8"/>
    <w:rsid w:val="000D1D0B"/>
    <w:rsid w:val="000D2BF5"/>
    <w:rsid w:val="000D47C8"/>
    <w:rsid w:val="000D76C0"/>
    <w:rsid w:val="000E1158"/>
    <w:rsid w:val="000E130A"/>
    <w:rsid w:val="000E336D"/>
    <w:rsid w:val="000E3DA8"/>
    <w:rsid w:val="000E59D1"/>
    <w:rsid w:val="000F212B"/>
    <w:rsid w:val="000F3C15"/>
    <w:rsid w:val="000F556D"/>
    <w:rsid w:val="000F5D32"/>
    <w:rsid w:val="00100EB0"/>
    <w:rsid w:val="00101326"/>
    <w:rsid w:val="00101F4D"/>
    <w:rsid w:val="0010597F"/>
    <w:rsid w:val="001064CB"/>
    <w:rsid w:val="001118F0"/>
    <w:rsid w:val="00115FA3"/>
    <w:rsid w:val="00116B56"/>
    <w:rsid w:val="00116CCD"/>
    <w:rsid w:val="0012242F"/>
    <w:rsid w:val="00125C65"/>
    <w:rsid w:val="00127016"/>
    <w:rsid w:val="0012784B"/>
    <w:rsid w:val="00127D14"/>
    <w:rsid w:val="00130B67"/>
    <w:rsid w:val="001332A2"/>
    <w:rsid w:val="00133C43"/>
    <w:rsid w:val="00133E95"/>
    <w:rsid w:val="001341F5"/>
    <w:rsid w:val="00140F82"/>
    <w:rsid w:val="00143E4E"/>
    <w:rsid w:val="00154B53"/>
    <w:rsid w:val="0016119D"/>
    <w:rsid w:val="00165A31"/>
    <w:rsid w:val="001663DA"/>
    <w:rsid w:val="0016755B"/>
    <w:rsid w:val="001705E3"/>
    <w:rsid w:val="00172443"/>
    <w:rsid w:val="00175906"/>
    <w:rsid w:val="001806DE"/>
    <w:rsid w:val="00182452"/>
    <w:rsid w:val="001868D2"/>
    <w:rsid w:val="0019417C"/>
    <w:rsid w:val="00195555"/>
    <w:rsid w:val="00195DAD"/>
    <w:rsid w:val="001975BA"/>
    <w:rsid w:val="001A1A85"/>
    <w:rsid w:val="001A1F43"/>
    <w:rsid w:val="001A2F6A"/>
    <w:rsid w:val="001A683D"/>
    <w:rsid w:val="001B5D65"/>
    <w:rsid w:val="001B764F"/>
    <w:rsid w:val="001C35B5"/>
    <w:rsid w:val="001C438B"/>
    <w:rsid w:val="001C77FC"/>
    <w:rsid w:val="001D2627"/>
    <w:rsid w:val="001D49FB"/>
    <w:rsid w:val="001D77F3"/>
    <w:rsid w:val="001E0740"/>
    <w:rsid w:val="001E3415"/>
    <w:rsid w:val="001E369E"/>
    <w:rsid w:val="001F02B9"/>
    <w:rsid w:val="001F0D57"/>
    <w:rsid w:val="001F0F84"/>
    <w:rsid w:val="001F3A87"/>
    <w:rsid w:val="001F4089"/>
    <w:rsid w:val="002016A4"/>
    <w:rsid w:val="00202528"/>
    <w:rsid w:val="00202972"/>
    <w:rsid w:val="0020687C"/>
    <w:rsid w:val="00207F88"/>
    <w:rsid w:val="00210385"/>
    <w:rsid w:val="00210872"/>
    <w:rsid w:val="0021089D"/>
    <w:rsid w:val="0021132B"/>
    <w:rsid w:val="00215591"/>
    <w:rsid w:val="00223548"/>
    <w:rsid w:val="002269C7"/>
    <w:rsid w:val="00227909"/>
    <w:rsid w:val="00233DA1"/>
    <w:rsid w:val="00234B88"/>
    <w:rsid w:val="00235772"/>
    <w:rsid w:val="00235890"/>
    <w:rsid w:val="002373FF"/>
    <w:rsid w:val="002400E4"/>
    <w:rsid w:val="00242423"/>
    <w:rsid w:val="00243719"/>
    <w:rsid w:val="00243C29"/>
    <w:rsid w:val="00244102"/>
    <w:rsid w:val="00247899"/>
    <w:rsid w:val="00250160"/>
    <w:rsid w:val="002505E8"/>
    <w:rsid w:val="00252E20"/>
    <w:rsid w:val="00253D43"/>
    <w:rsid w:val="0025459B"/>
    <w:rsid w:val="00255BA4"/>
    <w:rsid w:val="00255E67"/>
    <w:rsid w:val="00256A18"/>
    <w:rsid w:val="00272F6A"/>
    <w:rsid w:val="00273FAD"/>
    <w:rsid w:val="002759DC"/>
    <w:rsid w:val="002800D2"/>
    <w:rsid w:val="00287419"/>
    <w:rsid w:val="002920D0"/>
    <w:rsid w:val="00293986"/>
    <w:rsid w:val="0029724D"/>
    <w:rsid w:val="002A66A0"/>
    <w:rsid w:val="002A7339"/>
    <w:rsid w:val="002B4EC5"/>
    <w:rsid w:val="002C0831"/>
    <w:rsid w:val="002C2A87"/>
    <w:rsid w:val="002C4C34"/>
    <w:rsid w:val="002D23B6"/>
    <w:rsid w:val="002D4EAB"/>
    <w:rsid w:val="002D6EB8"/>
    <w:rsid w:val="002E2246"/>
    <w:rsid w:val="002E2A19"/>
    <w:rsid w:val="002E6CFA"/>
    <w:rsid w:val="002F383A"/>
    <w:rsid w:val="00306DEF"/>
    <w:rsid w:val="00307591"/>
    <w:rsid w:val="0031079E"/>
    <w:rsid w:val="0031181D"/>
    <w:rsid w:val="0031323D"/>
    <w:rsid w:val="00322D77"/>
    <w:rsid w:val="003237FE"/>
    <w:rsid w:val="0032547D"/>
    <w:rsid w:val="00337FDD"/>
    <w:rsid w:val="00342339"/>
    <w:rsid w:val="003455F7"/>
    <w:rsid w:val="003466C7"/>
    <w:rsid w:val="00350AE5"/>
    <w:rsid w:val="003554C1"/>
    <w:rsid w:val="003564A5"/>
    <w:rsid w:val="00356C59"/>
    <w:rsid w:val="00356F16"/>
    <w:rsid w:val="00363D0D"/>
    <w:rsid w:val="003668C2"/>
    <w:rsid w:val="00370CF2"/>
    <w:rsid w:val="00370F24"/>
    <w:rsid w:val="00377E09"/>
    <w:rsid w:val="00382186"/>
    <w:rsid w:val="00384254"/>
    <w:rsid w:val="003843F1"/>
    <w:rsid w:val="003902C5"/>
    <w:rsid w:val="00391E38"/>
    <w:rsid w:val="003A0B5E"/>
    <w:rsid w:val="003A7B6F"/>
    <w:rsid w:val="003B2E42"/>
    <w:rsid w:val="003B49CF"/>
    <w:rsid w:val="003B4AA8"/>
    <w:rsid w:val="003B5E8E"/>
    <w:rsid w:val="003B7E4A"/>
    <w:rsid w:val="003C47E1"/>
    <w:rsid w:val="003C5183"/>
    <w:rsid w:val="003C6172"/>
    <w:rsid w:val="003D2301"/>
    <w:rsid w:val="003D30B5"/>
    <w:rsid w:val="003D4B94"/>
    <w:rsid w:val="003D678C"/>
    <w:rsid w:val="003E469F"/>
    <w:rsid w:val="003E4AF3"/>
    <w:rsid w:val="003E4E81"/>
    <w:rsid w:val="003E6314"/>
    <w:rsid w:val="003E6D66"/>
    <w:rsid w:val="003E77D9"/>
    <w:rsid w:val="003F0641"/>
    <w:rsid w:val="003F0C33"/>
    <w:rsid w:val="003F2700"/>
    <w:rsid w:val="003F3F5A"/>
    <w:rsid w:val="003F6962"/>
    <w:rsid w:val="004003DD"/>
    <w:rsid w:val="0040176A"/>
    <w:rsid w:val="00403EDE"/>
    <w:rsid w:val="00407031"/>
    <w:rsid w:val="004143F1"/>
    <w:rsid w:val="00415122"/>
    <w:rsid w:val="0041659F"/>
    <w:rsid w:val="00416E49"/>
    <w:rsid w:val="00420ECC"/>
    <w:rsid w:val="00424203"/>
    <w:rsid w:val="00430355"/>
    <w:rsid w:val="004303A2"/>
    <w:rsid w:val="00440970"/>
    <w:rsid w:val="00443519"/>
    <w:rsid w:val="00443CAE"/>
    <w:rsid w:val="00450038"/>
    <w:rsid w:val="0045207C"/>
    <w:rsid w:val="00455243"/>
    <w:rsid w:val="00456F42"/>
    <w:rsid w:val="00460674"/>
    <w:rsid w:val="00463677"/>
    <w:rsid w:val="00463747"/>
    <w:rsid w:val="004656A4"/>
    <w:rsid w:val="00465A10"/>
    <w:rsid w:val="00471B88"/>
    <w:rsid w:val="00472092"/>
    <w:rsid w:val="00475B6A"/>
    <w:rsid w:val="00477CDB"/>
    <w:rsid w:val="00481920"/>
    <w:rsid w:val="00483E78"/>
    <w:rsid w:val="00485B70"/>
    <w:rsid w:val="004862D9"/>
    <w:rsid w:val="00486FCE"/>
    <w:rsid w:val="004901D9"/>
    <w:rsid w:val="004912A7"/>
    <w:rsid w:val="00492975"/>
    <w:rsid w:val="004A0812"/>
    <w:rsid w:val="004A1A71"/>
    <w:rsid w:val="004A3E05"/>
    <w:rsid w:val="004A42B8"/>
    <w:rsid w:val="004A534D"/>
    <w:rsid w:val="004A5823"/>
    <w:rsid w:val="004A6CEC"/>
    <w:rsid w:val="004A6F93"/>
    <w:rsid w:val="004A7F4F"/>
    <w:rsid w:val="004B2536"/>
    <w:rsid w:val="004B2538"/>
    <w:rsid w:val="004B3984"/>
    <w:rsid w:val="004B4BCE"/>
    <w:rsid w:val="004B4C2F"/>
    <w:rsid w:val="004B75E2"/>
    <w:rsid w:val="004C2023"/>
    <w:rsid w:val="004C20D1"/>
    <w:rsid w:val="004C2791"/>
    <w:rsid w:val="004C2AFB"/>
    <w:rsid w:val="004C5F21"/>
    <w:rsid w:val="004C6E8A"/>
    <w:rsid w:val="004C7265"/>
    <w:rsid w:val="004D1323"/>
    <w:rsid w:val="004D263D"/>
    <w:rsid w:val="004D437E"/>
    <w:rsid w:val="004D718B"/>
    <w:rsid w:val="004E15FE"/>
    <w:rsid w:val="004E2420"/>
    <w:rsid w:val="004E5340"/>
    <w:rsid w:val="004E6C72"/>
    <w:rsid w:val="004E7D82"/>
    <w:rsid w:val="004F3F78"/>
    <w:rsid w:val="004F735A"/>
    <w:rsid w:val="004F7C61"/>
    <w:rsid w:val="005006B7"/>
    <w:rsid w:val="005014FD"/>
    <w:rsid w:val="00501D3A"/>
    <w:rsid w:val="00502F82"/>
    <w:rsid w:val="00503008"/>
    <w:rsid w:val="00507AE6"/>
    <w:rsid w:val="00511087"/>
    <w:rsid w:val="00516B19"/>
    <w:rsid w:val="00522B61"/>
    <w:rsid w:val="00522B92"/>
    <w:rsid w:val="00527A45"/>
    <w:rsid w:val="00531F1F"/>
    <w:rsid w:val="00533357"/>
    <w:rsid w:val="005345F1"/>
    <w:rsid w:val="005431E4"/>
    <w:rsid w:val="0054510F"/>
    <w:rsid w:val="005472F2"/>
    <w:rsid w:val="00552415"/>
    <w:rsid w:val="00553B3F"/>
    <w:rsid w:val="00553D29"/>
    <w:rsid w:val="00557B0B"/>
    <w:rsid w:val="00560B77"/>
    <w:rsid w:val="0056175B"/>
    <w:rsid w:val="00563328"/>
    <w:rsid w:val="0056535C"/>
    <w:rsid w:val="005704EA"/>
    <w:rsid w:val="005727E3"/>
    <w:rsid w:val="00572DC8"/>
    <w:rsid w:val="00573043"/>
    <w:rsid w:val="00573342"/>
    <w:rsid w:val="00575521"/>
    <w:rsid w:val="00575546"/>
    <w:rsid w:val="005757B9"/>
    <w:rsid w:val="005811AD"/>
    <w:rsid w:val="0058154E"/>
    <w:rsid w:val="005956EE"/>
    <w:rsid w:val="00596971"/>
    <w:rsid w:val="005A08F6"/>
    <w:rsid w:val="005A1148"/>
    <w:rsid w:val="005A3A01"/>
    <w:rsid w:val="005B0C29"/>
    <w:rsid w:val="005B6455"/>
    <w:rsid w:val="005C0124"/>
    <w:rsid w:val="005C3937"/>
    <w:rsid w:val="005C75C7"/>
    <w:rsid w:val="005C7F2E"/>
    <w:rsid w:val="005D610A"/>
    <w:rsid w:val="005D68DA"/>
    <w:rsid w:val="005D6D90"/>
    <w:rsid w:val="005E1E50"/>
    <w:rsid w:val="005E455A"/>
    <w:rsid w:val="005E4918"/>
    <w:rsid w:val="005E5A80"/>
    <w:rsid w:val="005F31BE"/>
    <w:rsid w:val="006008FB"/>
    <w:rsid w:val="00601D22"/>
    <w:rsid w:val="00604648"/>
    <w:rsid w:val="00606015"/>
    <w:rsid w:val="00607345"/>
    <w:rsid w:val="00617585"/>
    <w:rsid w:val="006210EE"/>
    <w:rsid w:val="00623329"/>
    <w:rsid w:val="00623C9E"/>
    <w:rsid w:val="0062795D"/>
    <w:rsid w:val="00627D20"/>
    <w:rsid w:val="00635125"/>
    <w:rsid w:val="006402CD"/>
    <w:rsid w:val="006407F4"/>
    <w:rsid w:val="00641E4D"/>
    <w:rsid w:val="00645C64"/>
    <w:rsid w:val="00645ECF"/>
    <w:rsid w:val="00646133"/>
    <w:rsid w:val="006508B3"/>
    <w:rsid w:val="00651FD3"/>
    <w:rsid w:val="006537EC"/>
    <w:rsid w:val="00654BC1"/>
    <w:rsid w:val="00656EC8"/>
    <w:rsid w:val="00657C88"/>
    <w:rsid w:val="006658B3"/>
    <w:rsid w:val="006745C8"/>
    <w:rsid w:val="006757F0"/>
    <w:rsid w:val="006768AC"/>
    <w:rsid w:val="00680680"/>
    <w:rsid w:val="00690536"/>
    <w:rsid w:val="00697E7A"/>
    <w:rsid w:val="006A1E1D"/>
    <w:rsid w:val="006A664A"/>
    <w:rsid w:val="006B0AF3"/>
    <w:rsid w:val="006B0EBD"/>
    <w:rsid w:val="006B0F09"/>
    <w:rsid w:val="006B6672"/>
    <w:rsid w:val="006B7E94"/>
    <w:rsid w:val="006C1CDA"/>
    <w:rsid w:val="006C2727"/>
    <w:rsid w:val="006C390A"/>
    <w:rsid w:val="006C396F"/>
    <w:rsid w:val="006C4869"/>
    <w:rsid w:val="006C4C38"/>
    <w:rsid w:val="006D448F"/>
    <w:rsid w:val="006D5F31"/>
    <w:rsid w:val="006D6537"/>
    <w:rsid w:val="006E59EA"/>
    <w:rsid w:val="006E5D23"/>
    <w:rsid w:val="006E7B45"/>
    <w:rsid w:val="006F46E8"/>
    <w:rsid w:val="006F4C73"/>
    <w:rsid w:val="00701279"/>
    <w:rsid w:val="007107B4"/>
    <w:rsid w:val="00710F3E"/>
    <w:rsid w:val="00713D23"/>
    <w:rsid w:val="00723C5C"/>
    <w:rsid w:val="00724542"/>
    <w:rsid w:val="007268CA"/>
    <w:rsid w:val="0073758A"/>
    <w:rsid w:val="007379F3"/>
    <w:rsid w:val="007408E7"/>
    <w:rsid w:val="00743ADF"/>
    <w:rsid w:val="00751F78"/>
    <w:rsid w:val="00753AAF"/>
    <w:rsid w:val="00754F51"/>
    <w:rsid w:val="007555D6"/>
    <w:rsid w:val="00757B7B"/>
    <w:rsid w:val="00757CDB"/>
    <w:rsid w:val="0076460B"/>
    <w:rsid w:val="00764A3B"/>
    <w:rsid w:val="0077061A"/>
    <w:rsid w:val="007741E2"/>
    <w:rsid w:val="00775E20"/>
    <w:rsid w:val="00777A74"/>
    <w:rsid w:val="00782B78"/>
    <w:rsid w:val="007857E1"/>
    <w:rsid w:val="00785D61"/>
    <w:rsid w:val="00786D2C"/>
    <w:rsid w:val="00791647"/>
    <w:rsid w:val="007954FB"/>
    <w:rsid w:val="0079760A"/>
    <w:rsid w:val="007A15B5"/>
    <w:rsid w:val="007A1F40"/>
    <w:rsid w:val="007A545B"/>
    <w:rsid w:val="007A6CD1"/>
    <w:rsid w:val="007B07BE"/>
    <w:rsid w:val="007B211D"/>
    <w:rsid w:val="007B6642"/>
    <w:rsid w:val="007B7078"/>
    <w:rsid w:val="007C111E"/>
    <w:rsid w:val="007D0F9D"/>
    <w:rsid w:val="007D2299"/>
    <w:rsid w:val="007D5CC9"/>
    <w:rsid w:val="007D6166"/>
    <w:rsid w:val="007D6599"/>
    <w:rsid w:val="007D7261"/>
    <w:rsid w:val="007E200C"/>
    <w:rsid w:val="007E68BB"/>
    <w:rsid w:val="007E68D2"/>
    <w:rsid w:val="007E74F3"/>
    <w:rsid w:val="007F2BBF"/>
    <w:rsid w:val="0080130F"/>
    <w:rsid w:val="0080318D"/>
    <w:rsid w:val="0080711D"/>
    <w:rsid w:val="00811997"/>
    <w:rsid w:val="00811F73"/>
    <w:rsid w:val="00813D00"/>
    <w:rsid w:val="00823A5B"/>
    <w:rsid w:val="00826ABA"/>
    <w:rsid w:val="00830E48"/>
    <w:rsid w:val="008326EF"/>
    <w:rsid w:val="00835907"/>
    <w:rsid w:val="0084272E"/>
    <w:rsid w:val="00843257"/>
    <w:rsid w:val="0084551F"/>
    <w:rsid w:val="008516C6"/>
    <w:rsid w:val="008521AF"/>
    <w:rsid w:val="008522CA"/>
    <w:rsid w:val="00854393"/>
    <w:rsid w:val="008551A2"/>
    <w:rsid w:val="00860A79"/>
    <w:rsid w:val="00862343"/>
    <w:rsid w:val="008626E1"/>
    <w:rsid w:val="00863DEF"/>
    <w:rsid w:val="00867C16"/>
    <w:rsid w:val="0087181D"/>
    <w:rsid w:val="00871D5D"/>
    <w:rsid w:val="0087659E"/>
    <w:rsid w:val="00880AEE"/>
    <w:rsid w:val="008813EB"/>
    <w:rsid w:val="008821BC"/>
    <w:rsid w:val="00890F6E"/>
    <w:rsid w:val="00891D0A"/>
    <w:rsid w:val="00894E3C"/>
    <w:rsid w:val="00895B0F"/>
    <w:rsid w:val="00896F84"/>
    <w:rsid w:val="008A0EB9"/>
    <w:rsid w:val="008A21D6"/>
    <w:rsid w:val="008A48BB"/>
    <w:rsid w:val="008A5EB4"/>
    <w:rsid w:val="008A78DC"/>
    <w:rsid w:val="008B08C9"/>
    <w:rsid w:val="008B0A42"/>
    <w:rsid w:val="008B1EA8"/>
    <w:rsid w:val="008B7EC2"/>
    <w:rsid w:val="008C05B8"/>
    <w:rsid w:val="008C3BE1"/>
    <w:rsid w:val="008C4982"/>
    <w:rsid w:val="008C69A2"/>
    <w:rsid w:val="008C6CA0"/>
    <w:rsid w:val="008C7BAF"/>
    <w:rsid w:val="008D3EED"/>
    <w:rsid w:val="008D63B8"/>
    <w:rsid w:val="008D7F38"/>
    <w:rsid w:val="008E0717"/>
    <w:rsid w:val="008E3AE3"/>
    <w:rsid w:val="008E3B71"/>
    <w:rsid w:val="008E7786"/>
    <w:rsid w:val="008F1237"/>
    <w:rsid w:val="008F617D"/>
    <w:rsid w:val="0090273C"/>
    <w:rsid w:val="009038F4"/>
    <w:rsid w:val="00904FFD"/>
    <w:rsid w:val="00911447"/>
    <w:rsid w:val="00924695"/>
    <w:rsid w:val="00925446"/>
    <w:rsid w:val="009267ED"/>
    <w:rsid w:val="009276C5"/>
    <w:rsid w:val="00930A95"/>
    <w:rsid w:val="00931B73"/>
    <w:rsid w:val="00933C7B"/>
    <w:rsid w:val="00934CE5"/>
    <w:rsid w:val="00943CB1"/>
    <w:rsid w:val="0094461D"/>
    <w:rsid w:val="0094573B"/>
    <w:rsid w:val="00950134"/>
    <w:rsid w:val="00955D28"/>
    <w:rsid w:val="00957B4B"/>
    <w:rsid w:val="009626BA"/>
    <w:rsid w:val="00971FCE"/>
    <w:rsid w:val="009737B8"/>
    <w:rsid w:val="00975D3E"/>
    <w:rsid w:val="009761E6"/>
    <w:rsid w:val="009773E9"/>
    <w:rsid w:val="009802DD"/>
    <w:rsid w:val="009805B4"/>
    <w:rsid w:val="0098357E"/>
    <w:rsid w:val="00985EED"/>
    <w:rsid w:val="00990D35"/>
    <w:rsid w:val="009A0ACD"/>
    <w:rsid w:val="009A4546"/>
    <w:rsid w:val="009A52C1"/>
    <w:rsid w:val="009A54C3"/>
    <w:rsid w:val="009A6D76"/>
    <w:rsid w:val="009A7338"/>
    <w:rsid w:val="009B1319"/>
    <w:rsid w:val="009B2861"/>
    <w:rsid w:val="009B3807"/>
    <w:rsid w:val="009B420A"/>
    <w:rsid w:val="009B5AC2"/>
    <w:rsid w:val="009B66A8"/>
    <w:rsid w:val="009B66D7"/>
    <w:rsid w:val="009C0F71"/>
    <w:rsid w:val="009C291E"/>
    <w:rsid w:val="009C439D"/>
    <w:rsid w:val="009C493F"/>
    <w:rsid w:val="009C4A77"/>
    <w:rsid w:val="009C5CCA"/>
    <w:rsid w:val="009C7AEB"/>
    <w:rsid w:val="009D07E7"/>
    <w:rsid w:val="009D0C7B"/>
    <w:rsid w:val="009D55E5"/>
    <w:rsid w:val="009E107E"/>
    <w:rsid w:val="009E55F9"/>
    <w:rsid w:val="009F328A"/>
    <w:rsid w:val="009F7E29"/>
    <w:rsid w:val="009F7F3A"/>
    <w:rsid w:val="00A0136B"/>
    <w:rsid w:val="00A04D83"/>
    <w:rsid w:val="00A06568"/>
    <w:rsid w:val="00A0788C"/>
    <w:rsid w:val="00A07AF4"/>
    <w:rsid w:val="00A128E2"/>
    <w:rsid w:val="00A14563"/>
    <w:rsid w:val="00A146AD"/>
    <w:rsid w:val="00A15A5A"/>
    <w:rsid w:val="00A17544"/>
    <w:rsid w:val="00A1789D"/>
    <w:rsid w:val="00A20493"/>
    <w:rsid w:val="00A20F56"/>
    <w:rsid w:val="00A240E6"/>
    <w:rsid w:val="00A262C0"/>
    <w:rsid w:val="00A26497"/>
    <w:rsid w:val="00A26E99"/>
    <w:rsid w:val="00A3145A"/>
    <w:rsid w:val="00A325DE"/>
    <w:rsid w:val="00A33422"/>
    <w:rsid w:val="00A36EEB"/>
    <w:rsid w:val="00A40E68"/>
    <w:rsid w:val="00A41F62"/>
    <w:rsid w:val="00A5169F"/>
    <w:rsid w:val="00A56079"/>
    <w:rsid w:val="00A56B83"/>
    <w:rsid w:val="00A61907"/>
    <w:rsid w:val="00A649B7"/>
    <w:rsid w:val="00A65962"/>
    <w:rsid w:val="00A67018"/>
    <w:rsid w:val="00A740EC"/>
    <w:rsid w:val="00A74667"/>
    <w:rsid w:val="00A74F64"/>
    <w:rsid w:val="00A75508"/>
    <w:rsid w:val="00A804F2"/>
    <w:rsid w:val="00A80BBC"/>
    <w:rsid w:val="00A84F04"/>
    <w:rsid w:val="00A85CDC"/>
    <w:rsid w:val="00A90729"/>
    <w:rsid w:val="00A92497"/>
    <w:rsid w:val="00A94B22"/>
    <w:rsid w:val="00A9765F"/>
    <w:rsid w:val="00AA0E0E"/>
    <w:rsid w:val="00AA0EE5"/>
    <w:rsid w:val="00AA0F2E"/>
    <w:rsid w:val="00AA14F3"/>
    <w:rsid w:val="00AA2BBD"/>
    <w:rsid w:val="00AA3C96"/>
    <w:rsid w:val="00AA7BFF"/>
    <w:rsid w:val="00AB4C63"/>
    <w:rsid w:val="00AB5C18"/>
    <w:rsid w:val="00AC2B3B"/>
    <w:rsid w:val="00AC433B"/>
    <w:rsid w:val="00AC7952"/>
    <w:rsid w:val="00AD03A3"/>
    <w:rsid w:val="00AD096E"/>
    <w:rsid w:val="00AD2FE5"/>
    <w:rsid w:val="00AD65F4"/>
    <w:rsid w:val="00AF34B6"/>
    <w:rsid w:val="00AF3D06"/>
    <w:rsid w:val="00AF5912"/>
    <w:rsid w:val="00AF61ED"/>
    <w:rsid w:val="00AF7A45"/>
    <w:rsid w:val="00AF7F81"/>
    <w:rsid w:val="00B03C61"/>
    <w:rsid w:val="00B04481"/>
    <w:rsid w:val="00B054E1"/>
    <w:rsid w:val="00B234C2"/>
    <w:rsid w:val="00B243E6"/>
    <w:rsid w:val="00B251E7"/>
    <w:rsid w:val="00B25DFC"/>
    <w:rsid w:val="00B27EFF"/>
    <w:rsid w:val="00B3056B"/>
    <w:rsid w:val="00B31F57"/>
    <w:rsid w:val="00B3324F"/>
    <w:rsid w:val="00B36217"/>
    <w:rsid w:val="00B3743C"/>
    <w:rsid w:val="00B37B7C"/>
    <w:rsid w:val="00B40597"/>
    <w:rsid w:val="00B42076"/>
    <w:rsid w:val="00B456D9"/>
    <w:rsid w:val="00B4650F"/>
    <w:rsid w:val="00B46EEE"/>
    <w:rsid w:val="00B527B2"/>
    <w:rsid w:val="00B54EBE"/>
    <w:rsid w:val="00B55D37"/>
    <w:rsid w:val="00B64E5C"/>
    <w:rsid w:val="00B65DF1"/>
    <w:rsid w:val="00B6754D"/>
    <w:rsid w:val="00B71A32"/>
    <w:rsid w:val="00B76E06"/>
    <w:rsid w:val="00B830CC"/>
    <w:rsid w:val="00B92517"/>
    <w:rsid w:val="00B93B22"/>
    <w:rsid w:val="00B943E3"/>
    <w:rsid w:val="00B96A95"/>
    <w:rsid w:val="00BA077E"/>
    <w:rsid w:val="00BA3E1B"/>
    <w:rsid w:val="00BA5E83"/>
    <w:rsid w:val="00BA6A4A"/>
    <w:rsid w:val="00BA700A"/>
    <w:rsid w:val="00BA715D"/>
    <w:rsid w:val="00BA7C04"/>
    <w:rsid w:val="00BB1467"/>
    <w:rsid w:val="00BB2022"/>
    <w:rsid w:val="00BB7565"/>
    <w:rsid w:val="00BB7E3E"/>
    <w:rsid w:val="00BC43F0"/>
    <w:rsid w:val="00BD35E4"/>
    <w:rsid w:val="00BD51E1"/>
    <w:rsid w:val="00BD6E81"/>
    <w:rsid w:val="00BE13DC"/>
    <w:rsid w:val="00BE2641"/>
    <w:rsid w:val="00BE33CC"/>
    <w:rsid w:val="00BE3FC7"/>
    <w:rsid w:val="00BE6725"/>
    <w:rsid w:val="00BE7D09"/>
    <w:rsid w:val="00BF081E"/>
    <w:rsid w:val="00BF0C97"/>
    <w:rsid w:val="00BF2A39"/>
    <w:rsid w:val="00BF656B"/>
    <w:rsid w:val="00BF6F0B"/>
    <w:rsid w:val="00C000BF"/>
    <w:rsid w:val="00C00E43"/>
    <w:rsid w:val="00C06C10"/>
    <w:rsid w:val="00C11112"/>
    <w:rsid w:val="00C112FC"/>
    <w:rsid w:val="00C15304"/>
    <w:rsid w:val="00C15E17"/>
    <w:rsid w:val="00C17786"/>
    <w:rsid w:val="00C223B5"/>
    <w:rsid w:val="00C2318B"/>
    <w:rsid w:val="00C23633"/>
    <w:rsid w:val="00C2413B"/>
    <w:rsid w:val="00C27CE0"/>
    <w:rsid w:val="00C27E82"/>
    <w:rsid w:val="00C3104C"/>
    <w:rsid w:val="00C3276F"/>
    <w:rsid w:val="00C36178"/>
    <w:rsid w:val="00C36C4A"/>
    <w:rsid w:val="00C4474D"/>
    <w:rsid w:val="00C4761F"/>
    <w:rsid w:val="00C52C10"/>
    <w:rsid w:val="00C5382B"/>
    <w:rsid w:val="00C61B15"/>
    <w:rsid w:val="00C61F31"/>
    <w:rsid w:val="00C62216"/>
    <w:rsid w:val="00C65445"/>
    <w:rsid w:val="00C65A01"/>
    <w:rsid w:val="00C74108"/>
    <w:rsid w:val="00C753F1"/>
    <w:rsid w:val="00C75B23"/>
    <w:rsid w:val="00C75C49"/>
    <w:rsid w:val="00C77699"/>
    <w:rsid w:val="00C80F6A"/>
    <w:rsid w:val="00C83D0F"/>
    <w:rsid w:val="00C9133D"/>
    <w:rsid w:val="00C956DF"/>
    <w:rsid w:val="00C970CF"/>
    <w:rsid w:val="00CA1913"/>
    <w:rsid w:val="00CA324C"/>
    <w:rsid w:val="00CA418A"/>
    <w:rsid w:val="00CA42BE"/>
    <w:rsid w:val="00CA5E22"/>
    <w:rsid w:val="00CA6B93"/>
    <w:rsid w:val="00CA7B69"/>
    <w:rsid w:val="00CB6437"/>
    <w:rsid w:val="00CB6EC6"/>
    <w:rsid w:val="00CB71DC"/>
    <w:rsid w:val="00CC3304"/>
    <w:rsid w:val="00CD1D43"/>
    <w:rsid w:val="00CD1EA5"/>
    <w:rsid w:val="00CD74F6"/>
    <w:rsid w:val="00CE04CF"/>
    <w:rsid w:val="00CE2366"/>
    <w:rsid w:val="00CE2B27"/>
    <w:rsid w:val="00CE61E4"/>
    <w:rsid w:val="00CE6261"/>
    <w:rsid w:val="00CE6582"/>
    <w:rsid w:val="00CF728E"/>
    <w:rsid w:val="00CF7298"/>
    <w:rsid w:val="00D01C76"/>
    <w:rsid w:val="00D0535F"/>
    <w:rsid w:val="00D06BDE"/>
    <w:rsid w:val="00D07C02"/>
    <w:rsid w:val="00D102BD"/>
    <w:rsid w:val="00D1370E"/>
    <w:rsid w:val="00D1516A"/>
    <w:rsid w:val="00D227E5"/>
    <w:rsid w:val="00D24A61"/>
    <w:rsid w:val="00D27439"/>
    <w:rsid w:val="00D27F2B"/>
    <w:rsid w:val="00D30904"/>
    <w:rsid w:val="00D33554"/>
    <w:rsid w:val="00D35836"/>
    <w:rsid w:val="00D400BB"/>
    <w:rsid w:val="00D4012F"/>
    <w:rsid w:val="00D448A1"/>
    <w:rsid w:val="00D459AD"/>
    <w:rsid w:val="00D45CB7"/>
    <w:rsid w:val="00D479F6"/>
    <w:rsid w:val="00D47F2C"/>
    <w:rsid w:val="00D519D9"/>
    <w:rsid w:val="00D540C7"/>
    <w:rsid w:val="00D60E3E"/>
    <w:rsid w:val="00D618C2"/>
    <w:rsid w:val="00D62DF4"/>
    <w:rsid w:val="00D6364B"/>
    <w:rsid w:val="00D70F5E"/>
    <w:rsid w:val="00D71A58"/>
    <w:rsid w:val="00D72FBB"/>
    <w:rsid w:val="00D77E6B"/>
    <w:rsid w:val="00D82481"/>
    <w:rsid w:val="00D8258B"/>
    <w:rsid w:val="00D8491A"/>
    <w:rsid w:val="00D85940"/>
    <w:rsid w:val="00D86BD1"/>
    <w:rsid w:val="00D87CD2"/>
    <w:rsid w:val="00D9144E"/>
    <w:rsid w:val="00D93552"/>
    <w:rsid w:val="00D94CC6"/>
    <w:rsid w:val="00D9531F"/>
    <w:rsid w:val="00D97CD7"/>
    <w:rsid w:val="00DA0272"/>
    <w:rsid w:val="00DA0E55"/>
    <w:rsid w:val="00DA73C6"/>
    <w:rsid w:val="00DB1653"/>
    <w:rsid w:val="00DB4A6D"/>
    <w:rsid w:val="00DC2CDA"/>
    <w:rsid w:val="00DC3057"/>
    <w:rsid w:val="00DD1DF4"/>
    <w:rsid w:val="00DD6B9A"/>
    <w:rsid w:val="00DD75BD"/>
    <w:rsid w:val="00DE627B"/>
    <w:rsid w:val="00DF019E"/>
    <w:rsid w:val="00DF0862"/>
    <w:rsid w:val="00DF5D72"/>
    <w:rsid w:val="00DF737C"/>
    <w:rsid w:val="00E01408"/>
    <w:rsid w:val="00E0215D"/>
    <w:rsid w:val="00E02489"/>
    <w:rsid w:val="00E02988"/>
    <w:rsid w:val="00E03DB3"/>
    <w:rsid w:val="00E0640F"/>
    <w:rsid w:val="00E07706"/>
    <w:rsid w:val="00E10151"/>
    <w:rsid w:val="00E10271"/>
    <w:rsid w:val="00E11328"/>
    <w:rsid w:val="00E12AB9"/>
    <w:rsid w:val="00E14A92"/>
    <w:rsid w:val="00E20F0B"/>
    <w:rsid w:val="00E21E4A"/>
    <w:rsid w:val="00E248E3"/>
    <w:rsid w:val="00E24FA6"/>
    <w:rsid w:val="00E30CAD"/>
    <w:rsid w:val="00E41410"/>
    <w:rsid w:val="00E45EB0"/>
    <w:rsid w:val="00E469EC"/>
    <w:rsid w:val="00E47076"/>
    <w:rsid w:val="00E47859"/>
    <w:rsid w:val="00E51CE8"/>
    <w:rsid w:val="00E52309"/>
    <w:rsid w:val="00E535A2"/>
    <w:rsid w:val="00E53D78"/>
    <w:rsid w:val="00E57B2F"/>
    <w:rsid w:val="00E61FB5"/>
    <w:rsid w:val="00E63CF1"/>
    <w:rsid w:val="00E63E14"/>
    <w:rsid w:val="00E64F00"/>
    <w:rsid w:val="00E71AEE"/>
    <w:rsid w:val="00E82A64"/>
    <w:rsid w:val="00E83B4E"/>
    <w:rsid w:val="00E86C95"/>
    <w:rsid w:val="00E87343"/>
    <w:rsid w:val="00E922CE"/>
    <w:rsid w:val="00E9409F"/>
    <w:rsid w:val="00E94548"/>
    <w:rsid w:val="00E9644E"/>
    <w:rsid w:val="00E97261"/>
    <w:rsid w:val="00E9729E"/>
    <w:rsid w:val="00E9791C"/>
    <w:rsid w:val="00EA3B9B"/>
    <w:rsid w:val="00EA4125"/>
    <w:rsid w:val="00EB02B4"/>
    <w:rsid w:val="00EB2B1D"/>
    <w:rsid w:val="00EB3470"/>
    <w:rsid w:val="00EB4500"/>
    <w:rsid w:val="00EB5098"/>
    <w:rsid w:val="00EC3A5A"/>
    <w:rsid w:val="00EC7F3F"/>
    <w:rsid w:val="00ED2331"/>
    <w:rsid w:val="00ED616C"/>
    <w:rsid w:val="00ED668E"/>
    <w:rsid w:val="00ED71DA"/>
    <w:rsid w:val="00ED72BB"/>
    <w:rsid w:val="00EE3398"/>
    <w:rsid w:val="00EE350C"/>
    <w:rsid w:val="00EE4102"/>
    <w:rsid w:val="00EF2990"/>
    <w:rsid w:val="00F011ED"/>
    <w:rsid w:val="00F016BE"/>
    <w:rsid w:val="00F0486D"/>
    <w:rsid w:val="00F05239"/>
    <w:rsid w:val="00F052CB"/>
    <w:rsid w:val="00F12DA6"/>
    <w:rsid w:val="00F141A9"/>
    <w:rsid w:val="00F14924"/>
    <w:rsid w:val="00F205EC"/>
    <w:rsid w:val="00F26B81"/>
    <w:rsid w:val="00F31D7E"/>
    <w:rsid w:val="00F32A37"/>
    <w:rsid w:val="00F36472"/>
    <w:rsid w:val="00F43174"/>
    <w:rsid w:val="00F43192"/>
    <w:rsid w:val="00F50722"/>
    <w:rsid w:val="00F55A27"/>
    <w:rsid w:val="00F63309"/>
    <w:rsid w:val="00F64A5C"/>
    <w:rsid w:val="00F743E4"/>
    <w:rsid w:val="00F75A88"/>
    <w:rsid w:val="00F76B71"/>
    <w:rsid w:val="00F776D7"/>
    <w:rsid w:val="00F83034"/>
    <w:rsid w:val="00F83B4F"/>
    <w:rsid w:val="00F84449"/>
    <w:rsid w:val="00F849C9"/>
    <w:rsid w:val="00F8739B"/>
    <w:rsid w:val="00F902C8"/>
    <w:rsid w:val="00F911E4"/>
    <w:rsid w:val="00F9147B"/>
    <w:rsid w:val="00F9250D"/>
    <w:rsid w:val="00F9269A"/>
    <w:rsid w:val="00F92B5D"/>
    <w:rsid w:val="00FA113F"/>
    <w:rsid w:val="00FA13A3"/>
    <w:rsid w:val="00FA32D9"/>
    <w:rsid w:val="00FB5B35"/>
    <w:rsid w:val="00FC1A05"/>
    <w:rsid w:val="00FC25AB"/>
    <w:rsid w:val="00FC4051"/>
    <w:rsid w:val="00FD2301"/>
    <w:rsid w:val="00FD2D34"/>
    <w:rsid w:val="00FD361A"/>
    <w:rsid w:val="00FD456F"/>
    <w:rsid w:val="00FD742B"/>
    <w:rsid w:val="00FE0078"/>
    <w:rsid w:val="00FE1BF1"/>
    <w:rsid w:val="00FE24A7"/>
    <w:rsid w:val="00FE3B69"/>
    <w:rsid w:val="00FE40D5"/>
    <w:rsid w:val="00FE60D5"/>
    <w:rsid w:val="00FE655D"/>
    <w:rsid w:val="00FE65C6"/>
    <w:rsid w:val="00FE75BB"/>
    <w:rsid w:val="00FF3F3F"/>
    <w:rsid w:val="00FF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cecff"/>
    </o:shapedefaults>
    <o:shapelayout v:ext="edit">
      <o:idmap v:ext="edit" data="1"/>
    </o:shapelayout>
  </w:shapeDefaults>
  <w:decimalSymbol w:val="."/>
  <w:listSeparator w:val=","/>
  <w15:docId w15:val="{7DBBF3E7-08B4-47EB-B8F4-C6EDC511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10F"/>
    <w:pPr>
      <w:jc w:val="both"/>
    </w:pPr>
    <w:rPr>
      <w:kern w:val="22"/>
      <w:sz w:val="22"/>
      <w:szCs w:val="24"/>
    </w:rPr>
  </w:style>
  <w:style w:type="paragraph" w:styleId="Heading1">
    <w:name w:val="heading 1"/>
    <w:basedOn w:val="Normal"/>
    <w:next w:val="Normal"/>
    <w:qFormat/>
    <w:rsid w:val="0054510F"/>
    <w:pPr>
      <w:keepNext/>
      <w:numPr>
        <w:numId w:val="1"/>
      </w:numPr>
      <w:spacing w:before="120" w:after="120"/>
      <w:outlineLvl w:val="0"/>
    </w:pPr>
    <w:rPr>
      <w:rFonts w:ascii="Arial" w:hAnsi="Arial"/>
      <w:b/>
      <w:bCs/>
      <w:color w:val="000080"/>
      <w:sz w:val="28"/>
      <w:szCs w:val="32"/>
    </w:rPr>
  </w:style>
  <w:style w:type="paragraph" w:styleId="Heading2">
    <w:name w:val="heading 2"/>
    <w:basedOn w:val="Normal"/>
    <w:next w:val="Normal"/>
    <w:qFormat/>
    <w:rsid w:val="0054510F"/>
    <w:pPr>
      <w:keepNext/>
      <w:numPr>
        <w:ilvl w:val="1"/>
        <w:numId w:val="1"/>
      </w:numPr>
      <w:spacing w:before="240" w:after="60"/>
      <w:outlineLvl w:val="1"/>
    </w:pPr>
    <w:rPr>
      <w:rFonts w:ascii="Arial" w:hAnsi="Arial"/>
      <w:b/>
      <w:bCs/>
      <w:iCs/>
      <w:color w:val="000080"/>
      <w:sz w:val="24"/>
    </w:rPr>
  </w:style>
  <w:style w:type="paragraph" w:styleId="Heading3">
    <w:name w:val="heading 3"/>
    <w:basedOn w:val="Normal"/>
    <w:next w:val="Normal"/>
    <w:qFormat/>
    <w:rsid w:val="0054510F"/>
    <w:pPr>
      <w:keepNext/>
      <w:numPr>
        <w:ilvl w:val="2"/>
        <w:numId w:val="1"/>
      </w:numPr>
      <w:spacing w:before="180" w:after="60"/>
      <w:outlineLvl w:val="2"/>
    </w:pPr>
    <w:rPr>
      <w:rFonts w:ascii="Arial" w:hAnsi="Arial" w:cs="Arial"/>
      <w:b/>
      <w:bCs/>
      <w:i/>
      <w:color w:val="000080"/>
    </w:rPr>
  </w:style>
  <w:style w:type="paragraph" w:styleId="Heading4">
    <w:name w:val="heading 4"/>
    <w:basedOn w:val="Normal"/>
    <w:next w:val="Normal"/>
    <w:qFormat/>
    <w:rsid w:val="0054510F"/>
    <w:pPr>
      <w:keepNext/>
      <w:numPr>
        <w:ilvl w:val="3"/>
        <w:numId w:val="1"/>
      </w:numPr>
      <w:spacing w:before="120" w:after="60"/>
      <w:outlineLvl w:val="3"/>
    </w:pPr>
    <w:rPr>
      <w:b/>
      <w:bCs/>
      <w:kern w:val="0"/>
      <w:szCs w:val="28"/>
    </w:rPr>
  </w:style>
  <w:style w:type="paragraph" w:styleId="Heading5">
    <w:name w:val="heading 5"/>
    <w:basedOn w:val="Normal"/>
    <w:next w:val="Normal"/>
    <w:qFormat/>
    <w:rsid w:val="0054510F"/>
    <w:pPr>
      <w:numPr>
        <w:ilvl w:val="4"/>
        <w:numId w:val="1"/>
      </w:numPr>
      <w:spacing w:before="240" w:after="60"/>
      <w:outlineLvl w:val="4"/>
    </w:pPr>
    <w:rPr>
      <w:b/>
      <w:bCs/>
      <w:i/>
      <w:iCs/>
      <w:sz w:val="26"/>
      <w:szCs w:val="26"/>
    </w:rPr>
  </w:style>
  <w:style w:type="paragraph" w:styleId="Heading6">
    <w:name w:val="heading 6"/>
    <w:basedOn w:val="Normal"/>
    <w:next w:val="Normal"/>
    <w:qFormat/>
    <w:rsid w:val="0054510F"/>
    <w:pPr>
      <w:numPr>
        <w:ilvl w:val="5"/>
        <w:numId w:val="1"/>
      </w:numPr>
      <w:spacing w:before="240" w:after="60"/>
      <w:outlineLvl w:val="5"/>
    </w:pPr>
    <w:rPr>
      <w:b/>
      <w:bCs/>
      <w:szCs w:val="22"/>
    </w:rPr>
  </w:style>
  <w:style w:type="paragraph" w:styleId="Heading7">
    <w:name w:val="heading 7"/>
    <w:basedOn w:val="Normal"/>
    <w:next w:val="Normal"/>
    <w:qFormat/>
    <w:rsid w:val="0054510F"/>
    <w:pPr>
      <w:numPr>
        <w:ilvl w:val="6"/>
        <w:numId w:val="1"/>
      </w:numPr>
      <w:spacing w:before="240" w:after="60"/>
      <w:outlineLvl w:val="6"/>
    </w:pPr>
  </w:style>
  <w:style w:type="paragraph" w:styleId="Heading8">
    <w:name w:val="heading 8"/>
    <w:basedOn w:val="Normal"/>
    <w:next w:val="Normal"/>
    <w:qFormat/>
    <w:rsid w:val="0054510F"/>
    <w:pPr>
      <w:numPr>
        <w:ilvl w:val="7"/>
        <w:numId w:val="1"/>
      </w:numPr>
      <w:spacing w:before="240" w:after="60"/>
      <w:outlineLvl w:val="7"/>
    </w:pPr>
    <w:rPr>
      <w:i/>
      <w:iCs/>
    </w:rPr>
  </w:style>
  <w:style w:type="paragraph" w:styleId="Heading9">
    <w:name w:val="heading 9"/>
    <w:basedOn w:val="Normal"/>
    <w:next w:val="Normal"/>
    <w:qFormat/>
    <w:rsid w:val="0054510F"/>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rsid w:val="0054510F"/>
    <w:pPr>
      <w:spacing w:before="120" w:after="240"/>
      <w:ind w:left="720" w:hanging="720"/>
    </w:pPr>
  </w:style>
  <w:style w:type="paragraph" w:customStyle="1" w:styleId="6pointSpacer">
    <w:name w:val="6pointSpacer"/>
    <w:basedOn w:val="Normal"/>
    <w:rsid w:val="00CE2B27"/>
    <w:rPr>
      <w:sz w:val="12"/>
      <w:szCs w:val="12"/>
    </w:rPr>
  </w:style>
  <w:style w:type="paragraph" w:styleId="BodyText">
    <w:name w:val="Body Text"/>
    <w:basedOn w:val="Normal"/>
    <w:link w:val="BodyTextChar"/>
    <w:rsid w:val="0054510F"/>
    <w:pPr>
      <w:spacing w:after="120"/>
    </w:pPr>
  </w:style>
  <w:style w:type="paragraph" w:styleId="Caption">
    <w:name w:val="caption"/>
    <w:basedOn w:val="Normal"/>
    <w:next w:val="Normal"/>
    <w:qFormat/>
    <w:rsid w:val="0054510F"/>
    <w:pPr>
      <w:keepNext/>
      <w:spacing w:before="120" w:after="120"/>
    </w:pPr>
    <w:rPr>
      <w:b/>
      <w:bCs/>
      <w:szCs w:val="20"/>
    </w:rPr>
  </w:style>
  <w:style w:type="paragraph" w:customStyle="1" w:styleId="CenteredCaption">
    <w:name w:val="CenteredCaption"/>
    <w:basedOn w:val="Caption"/>
    <w:rsid w:val="0054510F"/>
    <w:pPr>
      <w:jc w:val="center"/>
    </w:pPr>
  </w:style>
  <w:style w:type="character" w:customStyle="1" w:styleId="Emphasize">
    <w:name w:val="Emphasize"/>
    <w:rsid w:val="0054510F"/>
    <w:rPr>
      <w:b/>
      <w:color w:val="000080"/>
    </w:rPr>
  </w:style>
  <w:style w:type="paragraph" w:styleId="Header">
    <w:name w:val="header"/>
    <w:basedOn w:val="Normal"/>
    <w:rsid w:val="00CE2B27"/>
    <w:pPr>
      <w:tabs>
        <w:tab w:val="center" w:pos="4320"/>
        <w:tab w:val="right" w:pos="9360"/>
      </w:tabs>
    </w:pPr>
    <w:rPr>
      <w:rFonts w:ascii="Arial" w:hAnsi="Arial"/>
      <w:sz w:val="16"/>
    </w:rPr>
  </w:style>
  <w:style w:type="character" w:customStyle="1" w:styleId="Italicize">
    <w:name w:val="Italicize"/>
    <w:rsid w:val="00CE2B27"/>
    <w:rPr>
      <w:i/>
      <w:color w:val="003399"/>
    </w:rPr>
  </w:style>
  <w:style w:type="paragraph" w:customStyle="1" w:styleId="Left1">
    <w:name w:val="Left:1"/>
    <w:basedOn w:val="Normal"/>
    <w:rsid w:val="00CE2B27"/>
    <w:pPr>
      <w:ind w:left="504"/>
    </w:pPr>
  </w:style>
  <w:style w:type="paragraph" w:customStyle="1" w:styleId="Left2">
    <w:name w:val="Left:2"/>
    <w:basedOn w:val="Normal"/>
    <w:rsid w:val="00CE2B27"/>
    <w:pPr>
      <w:ind w:left="1008"/>
    </w:pPr>
  </w:style>
  <w:style w:type="paragraph" w:customStyle="1" w:styleId="Left3">
    <w:name w:val="Left:3"/>
    <w:basedOn w:val="Normal"/>
    <w:rsid w:val="00CE2B27"/>
    <w:pPr>
      <w:ind w:left="1800"/>
    </w:pPr>
  </w:style>
  <w:style w:type="paragraph" w:customStyle="1" w:styleId="Left4">
    <w:name w:val="Left:4"/>
    <w:basedOn w:val="Normal"/>
    <w:rsid w:val="00CE2B27"/>
    <w:pPr>
      <w:ind w:left="2736"/>
    </w:pPr>
  </w:style>
  <w:style w:type="numbering" w:customStyle="1" w:styleId="ListBulleted">
    <w:name w:val="List Bulleted"/>
    <w:basedOn w:val="NoList"/>
    <w:rsid w:val="0054510F"/>
    <w:pPr>
      <w:numPr>
        <w:numId w:val="2"/>
      </w:numPr>
    </w:pPr>
  </w:style>
  <w:style w:type="numbering" w:customStyle="1" w:styleId="ListBulletedIndented">
    <w:name w:val="List Bulleted Indented"/>
    <w:basedOn w:val="NoList"/>
    <w:rsid w:val="00CE2B27"/>
    <w:pPr>
      <w:numPr>
        <w:numId w:val="3"/>
      </w:numPr>
    </w:pPr>
  </w:style>
  <w:style w:type="numbering" w:customStyle="1" w:styleId="ListMultiple-choiceChar">
    <w:name w:val="List Multiple-choice Char"/>
    <w:basedOn w:val="NoList"/>
    <w:rsid w:val="00CE2B27"/>
    <w:pPr>
      <w:numPr>
        <w:numId w:val="4"/>
      </w:numPr>
    </w:pPr>
  </w:style>
  <w:style w:type="numbering" w:customStyle="1" w:styleId="ListOutlineChar">
    <w:name w:val="List Outline Char"/>
    <w:rsid w:val="00CE2B27"/>
    <w:pPr>
      <w:numPr>
        <w:numId w:val="5"/>
      </w:numPr>
    </w:pPr>
  </w:style>
  <w:style w:type="numbering" w:customStyle="1" w:styleId="ListOutlineNumbered">
    <w:name w:val="List Outline Numbered"/>
    <w:basedOn w:val="NoList"/>
    <w:rsid w:val="00CE2B27"/>
    <w:pPr>
      <w:numPr>
        <w:numId w:val="6"/>
      </w:numPr>
    </w:pPr>
  </w:style>
  <w:style w:type="paragraph" w:styleId="Subtitle">
    <w:name w:val="Subtitle"/>
    <w:basedOn w:val="Normal"/>
    <w:qFormat/>
    <w:rsid w:val="0054510F"/>
    <w:pPr>
      <w:spacing w:before="120" w:after="120"/>
      <w:jc w:val="center"/>
      <w:outlineLvl w:val="1"/>
    </w:pPr>
    <w:rPr>
      <w:rFonts w:ascii="Arial" w:hAnsi="Arial" w:cs="Arial"/>
      <w:color w:val="000080"/>
    </w:rPr>
  </w:style>
  <w:style w:type="paragraph" w:customStyle="1" w:styleId="TableCentered">
    <w:name w:val="TableCentered"/>
    <w:basedOn w:val="Normal"/>
    <w:rsid w:val="00CE2B27"/>
    <w:pPr>
      <w:jc w:val="center"/>
    </w:pPr>
    <w:rPr>
      <w:szCs w:val="20"/>
    </w:rPr>
  </w:style>
  <w:style w:type="paragraph" w:customStyle="1" w:styleId="TableLeftText">
    <w:name w:val="TableLeftText"/>
    <w:basedOn w:val="Normal"/>
    <w:rsid w:val="00CE2B27"/>
  </w:style>
  <w:style w:type="paragraph" w:customStyle="1" w:styleId="TableRightText">
    <w:name w:val="TableRightText"/>
    <w:basedOn w:val="Normal"/>
    <w:rsid w:val="00CE2B27"/>
    <w:pPr>
      <w:jc w:val="right"/>
    </w:pPr>
  </w:style>
  <w:style w:type="paragraph" w:styleId="Title">
    <w:name w:val="Title"/>
    <w:basedOn w:val="Normal"/>
    <w:qFormat/>
    <w:rsid w:val="0054510F"/>
    <w:pPr>
      <w:spacing w:before="240" w:after="60"/>
      <w:jc w:val="center"/>
      <w:outlineLvl w:val="0"/>
    </w:pPr>
    <w:rPr>
      <w:rFonts w:ascii="Arial" w:hAnsi="Arial" w:cs="Arial"/>
      <w:b/>
      <w:bCs/>
      <w:smallCaps/>
      <w:color w:val="000080"/>
      <w:kern w:val="28"/>
      <w:sz w:val="28"/>
      <w:szCs w:val="32"/>
    </w:rPr>
  </w:style>
  <w:style w:type="character" w:customStyle="1" w:styleId="Answer">
    <w:name w:val="Answer"/>
    <w:rsid w:val="00CE2B27"/>
    <w:rPr>
      <w:b/>
      <w:i/>
      <w:u w:val="single"/>
      <w:bdr w:val="none" w:sz="0" w:space="0" w:color="auto"/>
      <w:shd w:val="clear" w:color="auto" w:fill="FFFF99"/>
    </w:rPr>
  </w:style>
  <w:style w:type="paragraph" w:customStyle="1" w:styleId="GCaptionBoldCentered">
    <w:name w:val="GCaptionBoldCentered"/>
    <w:basedOn w:val="Normal"/>
    <w:rsid w:val="00202972"/>
    <w:pPr>
      <w:keepNext/>
      <w:jc w:val="center"/>
    </w:pPr>
    <w:rPr>
      <w:b/>
      <w:color w:val="000099"/>
      <w:sz w:val="24"/>
    </w:rPr>
  </w:style>
  <w:style w:type="paragraph" w:styleId="Footer">
    <w:name w:val="footer"/>
    <w:basedOn w:val="Normal"/>
    <w:rsid w:val="0054510F"/>
    <w:pPr>
      <w:tabs>
        <w:tab w:val="center" w:pos="4320"/>
        <w:tab w:val="right" w:pos="9360"/>
      </w:tabs>
    </w:pPr>
    <w:rPr>
      <w:rFonts w:ascii="Arial" w:hAnsi="Arial"/>
      <w:sz w:val="16"/>
    </w:rPr>
  </w:style>
  <w:style w:type="character" w:styleId="PageNumber">
    <w:name w:val="page number"/>
    <w:basedOn w:val="DefaultParagraphFont"/>
    <w:rsid w:val="00FD361A"/>
  </w:style>
  <w:style w:type="paragraph" w:customStyle="1" w:styleId="CoverText">
    <w:name w:val="CoverText"/>
    <w:basedOn w:val="Normal"/>
    <w:rsid w:val="0054510F"/>
    <w:pPr>
      <w:jc w:val="center"/>
    </w:pPr>
  </w:style>
  <w:style w:type="paragraph" w:styleId="BodyText3">
    <w:name w:val="Body Text 3"/>
    <w:basedOn w:val="Normal"/>
    <w:rsid w:val="0054510F"/>
    <w:rPr>
      <w:sz w:val="18"/>
      <w:szCs w:val="16"/>
    </w:rPr>
  </w:style>
  <w:style w:type="paragraph" w:styleId="BodyTextFirstIndent">
    <w:name w:val="Body Text First Indent"/>
    <w:basedOn w:val="BodyText"/>
    <w:rsid w:val="0054510F"/>
    <w:pPr>
      <w:spacing w:line="480" w:lineRule="auto"/>
      <w:ind w:firstLine="432"/>
    </w:pPr>
  </w:style>
  <w:style w:type="paragraph" w:styleId="FootnoteText">
    <w:name w:val="footnote text"/>
    <w:basedOn w:val="Normal"/>
    <w:rsid w:val="0054510F"/>
    <w:rPr>
      <w:sz w:val="20"/>
      <w:szCs w:val="20"/>
    </w:rPr>
  </w:style>
  <w:style w:type="paragraph" w:customStyle="1" w:styleId="CenterTable">
    <w:name w:val="CenterTable"/>
    <w:basedOn w:val="Normal"/>
    <w:rsid w:val="0054510F"/>
    <w:pPr>
      <w:jc w:val="center"/>
    </w:pPr>
  </w:style>
  <w:style w:type="numbering" w:customStyle="1" w:styleId="StyleOutlinenumbered">
    <w:name w:val="Style Outline numbered"/>
    <w:basedOn w:val="NoList"/>
    <w:rsid w:val="0054510F"/>
    <w:pPr>
      <w:numPr>
        <w:numId w:val="9"/>
      </w:numPr>
    </w:pPr>
  </w:style>
  <w:style w:type="paragraph" w:customStyle="1" w:styleId="StyleLeft14">
    <w:name w:val="Style Left:  1.4&quot;"/>
    <w:basedOn w:val="Normal"/>
    <w:rsid w:val="0054510F"/>
    <w:pPr>
      <w:ind w:left="2016"/>
    </w:pPr>
    <w:rPr>
      <w:szCs w:val="22"/>
    </w:rPr>
  </w:style>
  <w:style w:type="paragraph" w:customStyle="1" w:styleId="StyleLeft105">
    <w:name w:val="Style Left:  1.05&quot;"/>
    <w:basedOn w:val="Normal"/>
    <w:rsid w:val="0054510F"/>
    <w:pPr>
      <w:ind w:left="1512"/>
    </w:pPr>
    <w:rPr>
      <w:szCs w:val="20"/>
    </w:rPr>
  </w:style>
  <w:style w:type="paragraph" w:customStyle="1" w:styleId="StyleLeft07">
    <w:name w:val="Style Left:  0.7&quot;"/>
    <w:basedOn w:val="Normal"/>
    <w:rsid w:val="0054510F"/>
    <w:pPr>
      <w:ind w:left="1008"/>
    </w:pPr>
    <w:rPr>
      <w:szCs w:val="20"/>
    </w:rPr>
  </w:style>
  <w:style w:type="paragraph" w:customStyle="1" w:styleId="StyleLeft035">
    <w:name w:val="Style Left:  0.35&quot;"/>
    <w:basedOn w:val="Normal"/>
    <w:rsid w:val="0054510F"/>
    <w:pPr>
      <w:ind w:left="504"/>
    </w:pPr>
    <w:rPr>
      <w:szCs w:val="20"/>
    </w:rPr>
  </w:style>
  <w:style w:type="paragraph" w:customStyle="1" w:styleId="Indentedlist">
    <w:name w:val="Indented list"/>
    <w:basedOn w:val="Normal"/>
    <w:rsid w:val="0054510F"/>
    <w:pPr>
      <w:numPr>
        <w:numId w:val="7"/>
      </w:numPr>
      <w:tabs>
        <w:tab w:val="clear" w:pos="1008"/>
        <w:tab w:val="num" w:pos="360"/>
      </w:tabs>
      <w:ind w:left="0" w:firstLine="0"/>
    </w:pPr>
    <w:rPr>
      <w:szCs w:val="22"/>
    </w:rPr>
  </w:style>
  <w:style w:type="paragraph" w:styleId="List">
    <w:name w:val="List"/>
    <w:basedOn w:val="Normal"/>
    <w:rsid w:val="0054510F"/>
    <w:pPr>
      <w:numPr>
        <w:numId w:val="8"/>
      </w:numPr>
      <w:tabs>
        <w:tab w:val="clear" w:pos="504"/>
        <w:tab w:val="num" w:pos="360"/>
      </w:tabs>
      <w:ind w:left="0" w:firstLine="0"/>
    </w:pPr>
    <w:rPr>
      <w:szCs w:val="22"/>
    </w:rPr>
  </w:style>
  <w:style w:type="numbering" w:customStyle="1" w:styleId="StyleCharOutlinenumbered">
    <w:name w:val="Style Char Outline numbered"/>
    <w:basedOn w:val="NoList"/>
    <w:rsid w:val="0054510F"/>
    <w:pPr>
      <w:numPr>
        <w:numId w:val="10"/>
      </w:numPr>
    </w:pPr>
  </w:style>
  <w:style w:type="paragraph" w:styleId="NormalWeb">
    <w:name w:val="Normal (Web)"/>
    <w:basedOn w:val="Normal"/>
    <w:semiHidden/>
    <w:rsid w:val="004C20D1"/>
    <w:pPr>
      <w:jc w:val="left"/>
    </w:pPr>
    <w:rPr>
      <w:rFonts w:eastAsia="Calibri"/>
      <w:kern w:val="0"/>
      <w:sz w:val="24"/>
    </w:rPr>
  </w:style>
  <w:style w:type="character" w:styleId="Hyperlink">
    <w:name w:val="Hyperlink"/>
    <w:rsid w:val="00F63309"/>
    <w:rPr>
      <w:color w:val="0000FF"/>
      <w:u w:val="single"/>
    </w:rPr>
  </w:style>
  <w:style w:type="character" w:customStyle="1" w:styleId="BodyTextChar">
    <w:name w:val="Body Text Char"/>
    <w:link w:val="BodyText"/>
    <w:rsid w:val="00D400BB"/>
    <w:rPr>
      <w:kern w:val="22"/>
      <w:sz w:val="22"/>
      <w:szCs w:val="24"/>
      <w:lang w:val="en-US" w:eastAsia="en-US" w:bidi="ar-SA"/>
    </w:rPr>
  </w:style>
  <w:style w:type="table" w:styleId="TableGrid">
    <w:name w:val="Table Grid"/>
    <w:basedOn w:val="TableNormal"/>
    <w:rsid w:val="0094573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A48BB"/>
    <w:rPr>
      <w:rFonts w:ascii="Tahoma" w:hAnsi="Tahoma" w:cs="Tahoma"/>
      <w:sz w:val="16"/>
      <w:szCs w:val="16"/>
    </w:rPr>
  </w:style>
  <w:style w:type="character" w:customStyle="1" w:styleId="BalloonTextChar">
    <w:name w:val="Balloon Text Char"/>
    <w:link w:val="BalloonText"/>
    <w:rsid w:val="008A48BB"/>
    <w:rPr>
      <w:rFonts w:ascii="Tahoma" w:hAnsi="Tahoma" w:cs="Tahoma"/>
      <w:kern w:val="2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05551">
      <w:bodyDiv w:val="1"/>
      <w:marLeft w:val="0"/>
      <w:marRight w:val="0"/>
      <w:marTop w:val="0"/>
      <w:marBottom w:val="0"/>
      <w:divBdr>
        <w:top w:val="none" w:sz="0" w:space="0" w:color="auto"/>
        <w:left w:val="none" w:sz="0" w:space="0" w:color="auto"/>
        <w:bottom w:val="none" w:sz="0" w:space="0" w:color="auto"/>
        <w:right w:val="none" w:sz="0" w:space="0" w:color="auto"/>
      </w:divBdr>
    </w:div>
    <w:div w:id="219875184">
      <w:bodyDiv w:val="1"/>
      <w:marLeft w:val="0"/>
      <w:marRight w:val="0"/>
      <w:marTop w:val="0"/>
      <w:marBottom w:val="0"/>
      <w:divBdr>
        <w:top w:val="none" w:sz="0" w:space="0" w:color="auto"/>
        <w:left w:val="none" w:sz="0" w:space="0" w:color="auto"/>
        <w:bottom w:val="none" w:sz="0" w:space="0" w:color="auto"/>
        <w:right w:val="none" w:sz="0" w:space="0" w:color="auto"/>
      </w:divBdr>
    </w:div>
    <w:div w:id="322398113">
      <w:bodyDiv w:val="1"/>
      <w:marLeft w:val="0"/>
      <w:marRight w:val="0"/>
      <w:marTop w:val="0"/>
      <w:marBottom w:val="0"/>
      <w:divBdr>
        <w:top w:val="none" w:sz="0" w:space="0" w:color="auto"/>
        <w:left w:val="none" w:sz="0" w:space="0" w:color="auto"/>
        <w:bottom w:val="none" w:sz="0" w:space="0" w:color="auto"/>
        <w:right w:val="none" w:sz="0" w:space="0" w:color="auto"/>
      </w:divBdr>
    </w:div>
    <w:div w:id="367796657">
      <w:bodyDiv w:val="1"/>
      <w:marLeft w:val="0"/>
      <w:marRight w:val="0"/>
      <w:marTop w:val="0"/>
      <w:marBottom w:val="0"/>
      <w:divBdr>
        <w:top w:val="none" w:sz="0" w:space="0" w:color="auto"/>
        <w:left w:val="none" w:sz="0" w:space="0" w:color="auto"/>
        <w:bottom w:val="none" w:sz="0" w:space="0" w:color="auto"/>
        <w:right w:val="none" w:sz="0" w:space="0" w:color="auto"/>
      </w:divBdr>
    </w:div>
    <w:div w:id="397215104">
      <w:bodyDiv w:val="1"/>
      <w:marLeft w:val="0"/>
      <w:marRight w:val="0"/>
      <w:marTop w:val="0"/>
      <w:marBottom w:val="0"/>
      <w:divBdr>
        <w:top w:val="none" w:sz="0" w:space="0" w:color="auto"/>
        <w:left w:val="none" w:sz="0" w:space="0" w:color="auto"/>
        <w:bottom w:val="none" w:sz="0" w:space="0" w:color="auto"/>
        <w:right w:val="none" w:sz="0" w:space="0" w:color="auto"/>
      </w:divBdr>
    </w:div>
    <w:div w:id="645622613">
      <w:bodyDiv w:val="1"/>
      <w:marLeft w:val="0"/>
      <w:marRight w:val="0"/>
      <w:marTop w:val="0"/>
      <w:marBottom w:val="0"/>
      <w:divBdr>
        <w:top w:val="none" w:sz="0" w:space="0" w:color="auto"/>
        <w:left w:val="none" w:sz="0" w:space="0" w:color="auto"/>
        <w:bottom w:val="none" w:sz="0" w:space="0" w:color="auto"/>
        <w:right w:val="none" w:sz="0" w:space="0" w:color="auto"/>
      </w:divBdr>
    </w:div>
    <w:div w:id="1166238590">
      <w:bodyDiv w:val="1"/>
      <w:marLeft w:val="0"/>
      <w:marRight w:val="0"/>
      <w:marTop w:val="0"/>
      <w:marBottom w:val="0"/>
      <w:divBdr>
        <w:top w:val="none" w:sz="0" w:space="0" w:color="auto"/>
        <w:left w:val="none" w:sz="0" w:space="0" w:color="auto"/>
        <w:bottom w:val="none" w:sz="0" w:space="0" w:color="auto"/>
        <w:right w:val="none" w:sz="0" w:space="0" w:color="auto"/>
      </w:divBdr>
    </w:div>
    <w:div w:id="1375691088">
      <w:bodyDiv w:val="1"/>
      <w:marLeft w:val="0"/>
      <w:marRight w:val="0"/>
      <w:marTop w:val="0"/>
      <w:marBottom w:val="0"/>
      <w:divBdr>
        <w:top w:val="none" w:sz="0" w:space="0" w:color="auto"/>
        <w:left w:val="none" w:sz="0" w:space="0" w:color="auto"/>
        <w:bottom w:val="none" w:sz="0" w:space="0" w:color="auto"/>
        <w:right w:val="none" w:sz="0" w:space="0" w:color="auto"/>
      </w:divBdr>
    </w:div>
    <w:div w:id="1583178570">
      <w:bodyDiv w:val="1"/>
      <w:marLeft w:val="0"/>
      <w:marRight w:val="0"/>
      <w:marTop w:val="0"/>
      <w:marBottom w:val="0"/>
      <w:divBdr>
        <w:top w:val="none" w:sz="0" w:space="0" w:color="auto"/>
        <w:left w:val="none" w:sz="0" w:space="0" w:color="auto"/>
        <w:bottom w:val="none" w:sz="0" w:space="0" w:color="auto"/>
        <w:right w:val="none" w:sz="0" w:space="0" w:color="auto"/>
      </w:divBdr>
    </w:div>
    <w:div w:id="162014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odeohl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ode\AppData\Roaming\Microsoft\Templates\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paper.dotx</Template>
  <TotalTime>137</TotalTime>
  <Pages>2</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Implied Excess Return</vt:lpstr>
    </vt:vector>
  </TitlesOfParts>
  <Manager>http://www.godeohlson.com</Manager>
  <Company>paper.dot</Company>
  <LinksUpToDate>false</LinksUpToDate>
  <CharactersWithSpaces>14677</CharactersWithSpaces>
  <SharedDoc>false</SharedDoc>
  <HLinks>
    <vt:vector size="6" baseType="variant">
      <vt:variant>
        <vt:i4>2752545</vt:i4>
      </vt:variant>
      <vt:variant>
        <vt:i4>8</vt:i4>
      </vt:variant>
      <vt:variant>
        <vt:i4>0</vt:i4>
      </vt:variant>
      <vt:variant>
        <vt:i4>5</vt:i4>
      </vt:variant>
      <vt:variant>
        <vt:lpwstr>http://www.godeohlson.com/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Implied Excess Return</dc:title>
  <dc:subject>Financial Statement Analysis and Valuation</dc:subject>
  <dc:creator>Dan Gode and James Ohlson</dc:creator>
  <cp:keywords/>
  <cp:lastModifiedBy>Dan Gode</cp:lastModifiedBy>
  <cp:revision>29</cp:revision>
  <cp:lastPrinted>2012-02-19T19:07:00Z</cp:lastPrinted>
  <dcterms:created xsi:type="dcterms:W3CDTF">2012-01-08T20:33:00Z</dcterms:created>
  <dcterms:modified xsi:type="dcterms:W3CDTF">2016-09-03T23:01:00Z</dcterms:modified>
</cp:coreProperties>
</file>